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A429C" w14:textId="77777777" w:rsidR="005E3311" w:rsidRPr="002D3561" w:rsidRDefault="00F572C3" w:rsidP="00166A5A">
      <w:pPr>
        <w:pStyle w:val="Nadpis1"/>
      </w:pPr>
      <w:r w:rsidRPr="002D3561">
        <w:t>Mobilní hlasové a datové služby</w:t>
      </w:r>
    </w:p>
    <w:p w14:paraId="319A05AF" w14:textId="77777777" w:rsidR="00F572C3" w:rsidRPr="002D3561" w:rsidRDefault="00F572C3" w:rsidP="00F32762">
      <w:pPr>
        <w:jc w:val="both"/>
        <w:rPr>
          <w:rFonts w:ascii="Arial Narrow" w:hAnsi="Arial Narrow" w:cs="Arial"/>
        </w:rPr>
      </w:pPr>
    </w:p>
    <w:p w14:paraId="7CD8C816" w14:textId="77777777" w:rsidR="00F572C3" w:rsidRPr="002D3561" w:rsidRDefault="00F572C3" w:rsidP="00F32762">
      <w:pPr>
        <w:spacing w:after="0"/>
        <w:ind w:firstLine="36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zabezpečení standardních mobilních hlasových a datových služeb poskytovaných na základě standardu GSM v tomto rozsahu:</w:t>
      </w:r>
    </w:p>
    <w:p w14:paraId="2380F911" w14:textId="7ABBD97F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Zajištění základních hlasových</w:t>
      </w:r>
      <w:r w:rsidR="002C6A59">
        <w:rPr>
          <w:rFonts w:ascii="Arial Narrow" w:hAnsi="Arial Narrow" w:cs="Arial"/>
        </w:rPr>
        <w:t xml:space="preserve"> a datových</w:t>
      </w:r>
      <w:r w:rsidRPr="002D3561">
        <w:rPr>
          <w:rFonts w:ascii="Arial Narrow" w:hAnsi="Arial Narrow" w:cs="Arial"/>
        </w:rPr>
        <w:t xml:space="preserve"> služeb s pokrytím minimálně 95</w:t>
      </w:r>
      <w:r w:rsidR="00FF170E" w:rsidRPr="002D3561">
        <w:rPr>
          <w:rFonts w:ascii="Arial Narrow" w:hAnsi="Arial Narrow" w:cs="Arial"/>
        </w:rPr>
        <w:t> </w:t>
      </w:r>
      <w:r w:rsidRPr="002D3561">
        <w:rPr>
          <w:rFonts w:ascii="Arial Narrow" w:hAnsi="Arial Narrow" w:cs="Arial"/>
        </w:rPr>
        <w:t>% území České republiky 24 hodin denně.</w:t>
      </w:r>
    </w:p>
    <w:p w14:paraId="25DFCB6F" w14:textId="11091989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Zajištění základních hlasových</w:t>
      </w:r>
      <w:r w:rsidR="002C6A59">
        <w:rPr>
          <w:rFonts w:ascii="Arial Narrow" w:hAnsi="Arial Narrow" w:cs="Arial"/>
        </w:rPr>
        <w:t xml:space="preserve"> a datových </w:t>
      </w:r>
      <w:r w:rsidRPr="002D3561">
        <w:rPr>
          <w:rFonts w:ascii="Arial Narrow" w:hAnsi="Arial Narrow" w:cs="Arial"/>
        </w:rPr>
        <w:t>služeb se 100</w:t>
      </w:r>
      <w:r w:rsidR="00FF170E" w:rsidRPr="002D3561">
        <w:rPr>
          <w:rFonts w:ascii="Arial Narrow" w:hAnsi="Arial Narrow" w:cs="Arial"/>
        </w:rPr>
        <w:t> </w:t>
      </w:r>
      <w:r w:rsidRPr="002D3561">
        <w:rPr>
          <w:rFonts w:ascii="Arial Narrow" w:hAnsi="Arial Narrow" w:cs="Arial"/>
        </w:rPr>
        <w:t>% pokrytím signálem 24 hodin denně ve všech budovách a prostorách specifikovaných v</w:t>
      </w:r>
      <w:r w:rsidR="004C5E12">
        <w:rPr>
          <w:rFonts w:ascii="Arial Narrow" w:hAnsi="Arial Narrow" w:cs="Arial"/>
        </w:rPr>
        <w:t> </w:t>
      </w:r>
      <w:r w:rsidR="004C5E12" w:rsidRPr="004C5E12">
        <w:rPr>
          <w:rFonts w:ascii="Arial Narrow" w:hAnsi="Arial Narrow" w:cs="Arial"/>
        </w:rPr>
        <w:t>příloze č. 1</w:t>
      </w:r>
      <w:r w:rsidRPr="002D3561">
        <w:rPr>
          <w:rFonts w:ascii="Arial Narrow" w:hAnsi="Arial Narrow" w:cs="Arial"/>
        </w:rPr>
        <w:t xml:space="preserve"> této zadávací komunikace.</w:t>
      </w:r>
    </w:p>
    <w:p w14:paraId="158C1507" w14:textId="77777777" w:rsidR="002D3561" w:rsidRPr="002D3561" w:rsidRDefault="002D3561" w:rsidP="00F32762">
      <w:pPr>
        <w:spacing w:after="0"/>
        <w:jc w:val="both"/>
        <w:rPr>
          <w:rFonts w:ascii="Arial Narrow" w:hAnsi="Arial Narrow" w:cs="Arial"/>
        </w:rPr>
      </w:pPr>
    </w:p>
    <w:p w14:paraId="3A0F6DC2" w14:textId="77777777" w:rsidR="00F572C3" w:rsidRPr="002D3561" w:rsidRDefault="00F572C3" w:rsidP="00F32762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V rámci zabezpečení standardních hlasových služeb na základě standardu GSM v tomto rozsahu:</w:t>
      </w:r>
    </w:p>
    <w:p w14:paraId="7CF27880" w14:textId="77777777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volat a přijímat hovory do a ze všech tuzemských a zahraničních mobilních a pevných sítí.</w:t>
      </w:r>
    </w:p>
    <w:p w14:paraId="7D05BC35" w14:textId="77777777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volat a přijímat hovory v zahraničí.</w:t>
      </w:r>
    </w:p>
    <w:p w14:paraId="60124B3E" w14:textId="77777777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přesměrovat příchozí hovory.</w:t>
      </w:r>
    </w:p>
    <w:p w14:paraId="38DD6B75" w14:textId="77777777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přesměrovat příchozí hovory do hlasové schránky (záznamová služba) a umožnit volání do hlasové schránky.</w:t>
      </w:r>
    </w:p>
    <w:p w14:paraId="21702A7E" w14:textId="77777777" w:rsidR="00F572C3" w:rsidRPr="002D3561" w:rsidRDefault="00F572C3" w:rsidP="00F32762">
      <w:pPr>
        <w:spacing w:after="0"/>
        <w:jc w:val="both"/>
        <w:rPr>
          <w:rFonts w:ascii="Arial Narrow" w:hAnsi="Arial Narrow" w:cs="Arial"/>
        </w:rPr>
      </w:pPr>
    </w:p>
    <w:p w14:paraId="671AE615" w14:textId="77777777" w:rsidR="00F572C3" w:rsidRPr="002D3561" w:rsidRDefault="00F572C3" w:rsidP="00F32762">
      <w:pPr>
        <w:spacing w:after="0"/>
        <w:ind w:firstLine="36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zabezpečení standardních textových a multimediálních služeb na základě standardu GSM v tomto rozsahu:</w:t>
      </w:r>
    </w:p>
    <w:p w14:paraId="0DF9AA52" w14:textId="77777777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Zasílání a přijímání SMS a MMS do a ze všech tuzemských mobilních sítí.</w:t>
      </w:r>
    </w:p>
    <w:p w14:paraId="3E07B47A" w14:textId="77777777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Zasílání a přijímání SMS a MMS do a ze všech zahraničních sítí umožňujících příjem a odesílání SMS a MMS.</w:t>
      </w:r>
    </w:p>
    <w:p w14:paraId="48A377FF" w14:textId="77777777" w:rsidR="00F572C3" w:rsidRPr="002D3561" w:rsidRDefault="00F572C3" w:rsidP="00F32762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Možnost zasílat a přijímat SMS a MMS v zahraničí.</w:t>
      </w:r>
    </w:p>
    <w:p w14:paraId="423F5D02" w14:textId="77777777" w:rsidR="00F572C3" w:rsidRPr="002D3561" w:rsidRDefault="00F572C3" w:rsidP="00F32762">
      <w:pPr>
        <w:jc w:val="both"/>
        <w:rPr>
          <w:rFonts w:ascii="Arial Narrow" w:hAnsi="Arial Narrow" w:cs="Arial"/>
        </w:rPr>
      </w:pPr>
    </w:p>
    <w:p w14:paraId="13DFFABC" w14:textId="77777777" w:rsidR="00F572C3" w:rsidRPr="002D3561" w:rsidRDefault="00F572C3" w:rsidP="0074506C">
      <w:pPr>
        <w:pStyle w:val="Nadpis2"/>
      </w:pPr>
      <w:r w:rsidRPr="002D3561">
        <w:t>Základní tarify mobilních hlasových služeb</w:t>
      </w:r>
    </w:p>
    <w:p w14:paraId="12A2AC15" w14:textId="77777777" w:rsidR="00F572C3" w:rsidRPr="002D3561" w:rsidRDefault="00F572C3" w:rsidP="00F32762">
      <w:pPr>
        <w:spacing w:after="0"/>
        <w:jc w:val="both"/>
        <w:rPr>
          <w:rFonts w:ascii="Arial Narrow" w:hAnsi="Arial Narrow" w:cs="Arial"/>
        </w:rPr>
      </w:pPr>
    </w:p>
    <w:p w14:paraId="05B0546F" w14:textId="77777777" w:rsidR="00F572C3" w:rsidRPr="002D3561" w:rsidRDefault="00F572C3" w:rsidP="00F32762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předložení nabídky dvou základních hlasových tarifů splňující výše uvedené standardní hlasové, textové a multimediální služby:</w:t>
      </w:r>
    </w:p>
    <w:p w14:paraId="58A3DFA5" w14:textId="77777777" w:rsidR="00F572C3" w:rsidRPr="002D3561" w:rsidRDefault="00F572C3" w:rsidP="00F32762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Tarif „</w:t>
      </w:r>
      <w:r w:rsidRPr="002D3561">
        <w:rPr>
          <w:rFonts w:ascii="Arial Narrow" w:hAnsi="Arial Narrow" w:cs="Arial"/>
          <w:b/>
        </w:rPr>
        <w:t>Účtovaný</w:t>
      </w:r>
      <w:r w:rsidRPr="002D3561">
        <w:rPr>
          <w:rFonts w:ascii="Arial Narrow" w:hAnsi="Arial Narrow" w:cs="Arial"/>
        </w:rPr>
        <w:t>“, který nebude obsahovat žádné tzv. volné jednotky. Veškerá spotřeba služeb elektronických komunikací s tímto tarifem bude účtována dle skutečné spotřeby a jednotkových cen. Hovorné bude účtováno nejhůře v tarifikaci „60+1“ a nebude rozlišováno mezi dobou silného provozu (ve špičce) a slabého provozu (mimo špičku). Uchazeč může nabídnout výhodnější tarifikaci (30+1, 0+1), v rámci hodnocení nabídek však k tomuto nebude přihlíženo.</w:t>
      </w:r>
    </w:p>
    <w:p w14:paraId="21C7950F" w14:textId="77777777" w:rsidR="00F572C3" w:rsidRPr="002D3561" w:rsidRDefault="00F572C3" w:rsidP="00F32762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Tarif „</w:t>
      </w:r>
      <w:r w:rsidRPr="002D3561">
        <w:rPr>
          <w:rFonts w:ascii="Arial Narrow" w:hAnsi="Arial Narrow" w:cs="Arial"/>
          <w:b/>
        </w:rPr>
        <w:t>Neomezený</w:t>
      </w:r>
      <w:r w:rsidRPr="002D3561">
        <w:rPr>
          <w:rFonts w:ascii="Arial Narrow" w:hAnsi="Arial Narrow" w:cs="Arial"/>
        </w:rPr>
        <w:t>“, umožňující neomezené volání a neomezené zasílání SMS do všech mobilních sítí v ČR a volání do všech pevných sítí v ČR (tj. volání a SMS na čísla začínající číslem 601-608, 702-719, 72, 73, 77, 79 dle číslovacího plánu v ČR (Vyhláška č. 117/2007 Sb. o číslovacích plánech sítí a služeb elektronických komunikací ze dne 10. 5. 2007).</w:t>
      </w:r>
    </w:p>
    <w:p w14:paraId="00AE2B4F" w14:textId="77777777" w:rsidR="00AD172B" w:rsidRPr="002D3561" w:rsidRDefault="00AD172B" w:rsidP="00F32762">
      <w:pPr>
        <w:spacing w:after="0"/>
        <w:jc w:val="both"/>
        <w:rPr>
          <w:rFonts w:ascii="Arial Narrow" w:hAnsi="Arial Narrow" w:cs="Arial"/>
        </w:rPr>
      </w:pPr>
    </w:p>
    <w:p w14:paraId="47DC38D8" w14:textId="16F39527" w:rsidR="00AD172B" w:rsidRPr="00257FA6" w:rsidRDefault="00AD172B" w:rsidP="00257FA6">
      <w:pPr>
        <w:pStyle w:val="Nadpis2"/>
      </w:pPr>
      <w:r w:rsidRPr="002D3561">
        <w:t>Základní tarify mobilních datových služeb</w:t>
      </w:r>
    </w:p>
    <w:p w14:paraId="667D91FE" w14:textId="77777777" w:rsidR="00AD172B" w:rsidRPr="002D3561" w:rsidRDefault="00AD172B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předložení nabídky mobilní datové služby, kterou bude moci využívat v kombinaci se základním hlasovým tarifem „Neomezený“ (Internet v mobilním telefonu).</w:t>
      </w:r>
    </w:p>
    <w:p w14:paraId="7A56A56C" w14:textId="77777777" w:rsidR="00AD172B" w:rsidRPr="002D3561" w:rsidRDefault="00AD172B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zabezpečení následujících základních datových služeb elektronických komunikací. Služba spočívá v zabezpečení připojení k síti Internet technologií paketového přenosu dat s využitím tarifů s neomezeným objemem přenášených dat v účetním období zpoplatněným pouze pravidelným měsíčním paušálním poplatkem.</w:t>
      </w:r>
    </w:p>
    <w:p w14:paraId="69150C81" w14:textId="77777777" w:rsidR="00AD172B" w:rsidRPr="002D3561" w:rsidRDefault="00AD172B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Mobilní datová služba musí umožnit komunikaci různými datovými technologiemi: GPRS, GPRS-EDGE, UMTS/3G, LTE/4G s možností využití veškerých technologií a jejich přenosových rychlostí daných veřejnou nabídkou uchazeče.</w:t>
      </w:r>
    </w:p>
    <w:p w14:paraId="678D9CD5" w14:textId="77777777" w:rsidR="00AD172B" w:rsidRPr="002D3561" w:rsidRDefault="00AD172B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Zadavatel požaduje předložení mobilní datové služby na úrovni vybraných základních tarifů lišících se dle aplikace FUP (Fair User </w:t>
      </w:r>
      <w:proofErr w:type="spellStart"/>
      <w:r w:rsidRPr="002D3561">
        <w:rPr>
          <w:rFonts w:ascii="Arial Narrow" w:hAnsi="Arial Narrow" w:cs="Arial"/>
        </w:rPr>
        <w:t>Policy</w:t>
      </w:r>
      <w:proofErr w:type="spellEnd"/>
      <w:r w:rsidRPr="002D3561">
        <w:rPr>
          <w:rFonts w:ascii="Arial Narrow" w:hAnsi="Arial Narrow" w:cs="Arial"/>
        </w:rPr>
        <w:t>), tj. dle objemu přenesených dat za měsíc (účtovací období) a to následujícím způsobem:</w:t>
      </w:r>
    </w:p>
    <w:p w14:paraId="3EC68DC4" w14:textId="77777777" w:rsidR="00926878" w:rsidRPr="002D3561" w:rsidRDefault="00926878" w:rsidP="00F32762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FUP </w:t>
      </w:r>
      <w:r w:rsidR="001378DF">
        <w:rPr>
          <w:rFonts w:ascii="Arial Narrow" w:hAnsi="Arial Narrow" w:cs="Arial"/>
        </w:rPr>
        <w:t>15</w:t>
      </w:r>
      <w:r w:rsidRPr="002D3561">
        <w:rPr>
          <w:rFonts w:ascii="Arial Narrow" w:hAnsi="Arial Narrow" w:cs="Arial"/>
        </w:rPr>
        <w:t xml:space="preserve">0 MB (minimálně </w:t>
      </w:r>
      <w:r w:rsidR="001378DF">
        <w:rPr>
          <w:rFonts w:ascii="Arial Narrow" w:hAnsi="Arial Narrow" w:cs="Arial"/>
        </w:rPr>
        <w:t>15</w:t>
      </w:r>
      <w:r w:rsidRPr="002D3561">
        <w:rPr>
          <w:rFonts w:ascii="Arial Narrow" w:hAnsi="Arial Narrow" w:cs="Arial"/>
        </w:rPr>
        <w:t>0 MB/měsíc).</w:t>
      </w:r>
    </w:p>
    <w:p w14:paraId="623971BE" w14:textId="1EEA54B5" w:rsidR="00926878" w:rsidRPr="002D3561" w:rsidRDefault="00926878" w:rsidP="00F32762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FUP 1 GB (minimálně 1 GB/měsíc).</w:t>
      </w:r>
    </w:p>
    <w:p w14:paraId="50CD622F" w14:textId="54FEB72C" w:rsidR="00926878" w:rsidRPr="002D3561" w:rsidRDefault="00926878" w:rsidP="00F32762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FUP </w:t>
      </w:r>
      <w:r w:rsidR="00A93E57">
        <w:rPr>
          <w:rFonts w:ascii="Arial Narrow" w:hAnsi="Arial Narrow" w:cs="Arial"/>
        </w:rPr>
        <w:t>5 GB (minimálně 5</w:t>
      </w:r>
      <w:r w:rsidRPr="002D3561">
        <w:rPr>
          <w:rFonts w:ascii="Arial Narrow" w:hAnsi="Arial Narrow" w:cs="Arial"/>
        </w:rPr>
        <w:t> GB/měsíc).</w:t>
      </w:r>
    </w:p>
    <w:p w14:paraId="723C8EF2" w14:textId="77777777" w:rsidR="00926878" w:rsidRPr="002D3561" w:rsidRDefault="00926878" w:rsidP="00F32762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FUP 10 GB (minimálně 10 GB/měsíc).</w:t>
      </w:r>
    </w:p>
    <w:p w14:paraId="22797934" w14:textId="77777777" w:rsidR="00AD172B" w:rsidRPr="002D3561" w:rsidRDefault="00926878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lastRenderedPageBreak/>
        <w:t xml:space="preserve">Aplikací FUP (Fair User </w:t>
      </w:r>
      <w:proofErr w:type="spellStart"/>
      <w:r w:rsidRPr="002D3561">
        <w:rPr>
          <w:rFonts w:ascii="Arial Narrow" w:hAnsi="Arial Narrow" w:cs="Arial"/>
        </w:rPr>
        <w:t>Policy</w:t>
      </w:r>
      <w:proofErr w:type="spellEnd"/>
      <w:r w:rsidRPr="002D3561">
        <w:rPr>
          <w:rFonts w:ascii="Arial Narrow" w:hAnsi="Arial Narrow" w:cs="Arial"/>
        </w:rPr>
        <w:t>) se rozumí možnost omezení přenosové rychlosti na hodnoty ne nižší než 30 </w:t>
      </w:r>
      <w:proofErr w:type="spellStart"/>
      <w:r w:rsidRPr="002D3561">
        <w:rPr>
          <w:rFonts w:ascii="Arial Narrow" w:hAnsi="Arial Narrow" w:cs="Arial"/>
        </w:rPr>
        <w:t>kb</w:t>
      </w:r>
      <w:proofErr w:type="spellEnd"/>
      <w:r w:rsidRPr="002D3561">
        <w:rPr>
          <w:rFonts w:ascii="Arial Narrow" w:hAnsi="Arial Narrow" w:cs="Arial"/>
        </w:rPr>
        <w:t xml:space="preserve">/s při </w:t>
      </w:r>
      <w:proofErr w:type="spellStart"/>
      <w:r w:rsidRPr="002D3561">
        <w:rPr>
          <w:rFonts w:ascii="Arial Narrow" w:hAnsi="Arial Narrow" w:cs="Arial"/>
        </w:rPr>
        <w:t>downloadu</w:t>
      </w:r>
      <w:proofErr w:type="spellEnd"/>
      <w:r w:rsidRPr="002D3561">
        <w:rPr>
          <w:rFonts w:ascii="Arial Narrow" w:hAnsi="Arial Narrow" w:cs="Arial"/>
        </w:rPr>
        <w:t xml:space="preserve"> po překročení FUP limitu, přičemž překročení FUP limitu nebude jakkoliv zpoplatněno v případě uplatnění výše uvedeného pravidla o snížení přenosové rychlosti.</w:t>
      </w:r>
    </w:p>
    <w:p w14:paraId="292B9190" w14:textId="77777777" w:rsidR="00926878" w:rsidRPr="002D3561" w:rsidRDefault="00926878" w:rsidP="00DC0B98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Pro úplnost zadavatel zcela jasně uvádí, že </w:t>
      </w:r>
      <w:r w:rsidRPr="00F81C44">
        <w:rPr>
          <w:rFonts w:ascii="Arial Narrow" w:hAnsi="Arial Narrow" w:cs="Arial"/>
          <w:b/>
        </w:rPr>
        <w:t>je nepřípustné</w:t>
      </w:r>
      <w:r w:rsidRPr="002D3561">
        <w:rPr>
          <w:rFonts w:ascii="Arial Narrow" w:hAnsi="Arial Narrow" w:cs="Arial"/>
        </w:rPr>
        <w:t>, aby po vyčerpání měsíčního objemu datových služeb na úrovni FUP limitu došlo:</w:t>
      </w:r>
    </w:p>
    <w:p w14:paraId="077C1AB5" w14:textId="77777777" w:rsidR="00926878" w:rsidRPr="002D3561" w:rsidRDefault="00926878" w:rsidP="00DC0B98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K úplnému zastavení poskytování datového připojení.</w:t>
      </w:r>
    </w:p>
    <w:p w14:paraId="3F19399E" w14:textId="77777777" w:rsidR="00926878" w:rsidRPr="002D3561" w:rsidRDefault="00926878" w:rsidP="00F32762">
      <w:pPr>
        <w:pStyle w:val="Odstavecseseznamem"/>
        <w:numPr>
          <w:ilvl w:val="0"/>
          <w:numId w:val="5"/>
        </w:numPr>
        <w:spacing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K automatickému dokoupení dalšího aditivního FUP limitu (objemu služeb) na účet dané SIM karty.</w:t>
      </w:r>
    </w:p>
    <w:p w14:paraId="45C42E27" w14:textId="77777777" w:rsidR="003373D5" w:rsidRPr="002D3561" w:rsidRDefault="003373D5" w:rsidP="00F32762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 výhradně následující způsob účtování základních datových tarifů:</w:t>
      </w:r>
    </w:p>
    <w:p w14:paraId="122B5A26" w14:textId="77777777" w:rsidR="003373D5" w:rsidRDefault="003373D5" w:rsidP="00F32762">
      <w:pPr>
        <w:pStyle w:val="Odstavecseseznamem"/>
        <w:numPr>
          <w:ilvl w:val="0"/>
          <w:numId w:val="26"/>
        </w:num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Jednorázový zřizovací či aktivační poplatek za každou SIM s aktivovaným základním datovým tarifem pro stroje a zařízení.</w:t>
      </w:r>
    </w:p>
    <w:p w14:paraId="242E1E53" w14:textId="25255F9C" w:rsidR="00720E7B" w:rsidRDefault="00720E7B" w:rsidP="00720E7B">
      <w:pPr>
        <w:pStyle w:val="Odstavecseseznamem"/>
        <w:numPr>
          <w:ilvl w:val="0"/>
          <w:numId w:val="26"/>
        </w:numPr>
        <w:rPr>
          <w:rFonts w:ascii="Arial Narrow" w:hAnsi="Arial Narrow" w:cs="Arial"/>
        </w:rPr>
      </w:pPr>
      <w:r w:rsidRPr="00720E7B">
        <w:rPr>
          <w:rFonts w:ascii="Arial Narrow" w:hAnsi="Arial Narrow" w:cs="Arial"/>
        </w:rPr>
        <w:t xml:space="preserve">V případě </w:t>
      </w:r>
      <w:r>
        <w:rPr>
          <w:rFonts w:ascii="Arial Narrow" w:hAnsi="Arial Narrow" w:cs="Arial"/>
        </w:rPr>
        <w:t>aktivace</w:t>
      </w:r>
      <w:r w:rsidRPr="00720E7B">
        <w:rPr>
          <w:rFonts w:ascii="Arial Narrow" w:hAnsi="Arial Narrow" w:cs="Arial"/>
        </w:rPr>
        <w:t xml:space="preserve"> nového balíčku účtování národních dat poměrnou částí dle skutečných odebraných dní, a to i v případě změny </w:t>
      </w:r>
      <w:r w:rsidR="002C6A59">
        <w:rPr>
          <w:rFonts w:ascii="Arial Narrow" w:hAnsi="Arial Narrow" w:cs="Arial"/>
        </w:rPr>
        <w:t>tarifu</w:t>
      </w:r>
      <w:r w:rsidRPr="00720E7B">
        <w:rPr>
          <w:rFonts w:ascii="Arial Narrow" w:hAnsi="Arial Narrow" w:cs="Arial"/>
        </w:rPr>
        <w:t>.</w:t>
      </w:r>
    </w:p>
    <w:p w14:paraId="184E2AAD" w14:textId="77777777" w:rsidR="003373D5" w:rsidRPr="002D3561" w:rsidRDefault="003373D5" w:rsidP="00F32762">
      <w:pPr>
        <w:pStyle w:val="Odstavecseseznamem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Pravidelný měsíční paušální poplatek za SIM s aktivovaným základním datovým tarifem.</w:t>
      </w:r>
    </w:p>
    <w:p w14:paraId="09C7DE22" w14:textId="33147600" w:rsidR="003373D5" w:rsidRPr="002D3561" w:rsidRDefault="003373D5" w:rsidP="00F32762">
      <w:pPr>
        <w:pStyle w:val="Odstavecseseznamem"/>
        <w:numPr>
          <w:ilvl w:val="0"/>
          <w:numId w:val="26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Jednotkovou cenu ve výši 0 Kč/kB za datové spojení </w:t>
      </w:r>
      <w:r w:rsidR="003E6B65">
        <w:rPr>
          <w:rFonts w:ascii="Arial Narrow" w:hAnsi="Arial Narrow" w:cs="Arial"/>
        </w:rPr>
        <w:t xml:space="preserve">v domácí síti </w:t>
      </w:r>
      <w:r w:rsidRPr="002D3561">
        <w:rPr>
          <w:rFonts w:ascii="Arial Narrow" w:hAnsi="Arial Narrow" w:cs="Arial"/>
        </w:rPr>
        <w:t>ze SIM s aktivovaným základním datovým tarifem.</w:t>
      </w:r>
    </w:p>
    <w:p w14:paraId="46A8CD15" w14:textId="77777777" w:rsidR="008C3A42" w:rsidRPr="002D3561" w:rsidRDefault="008C3A42" w:rsidP="00257FA6">
      <w:pPr>
        <w:pStyle w:val="Odstavecseseznamem"/>
        <w:keepNext/>
        <w:keepLines/>
        <w:spacing w:before="200" w:after="0" w:line="276" w:lineRule="auto"/>
        <w:ind w:left="792"/>
        <w:contextualSpacing w:val="0"/>
        <w:jc w:val="both"/>
        <w:outlineLvl w:val="2"/>
        <w:rPr>
          <w:rFonts w:ascii="Arial Narrow" w:eastAsiaTheme="majorEastAsia" w:hAnsi="Arial Narrow" w:cs="Arial"/>
          <w:b/>
          <w:bCs/>
          <w:vanish/>
          <w:color w:val="4F81BD" w:themeColor="accent1"/>
        </w:rPr>
      </w:pPr>
    </w:p>
    <w:p w14:paraId="64E7B52E" w14:textId="77777777" w:rsidR="00CD77BB" w:rsidRPr="002D3561" w:rsidRDefault="00CD77BB" w:rsidP="00166A5A">
      <w:pPr>
        <w:pStyle w:val="Nadpis1"/>
      </w:pPr>
      <w:r w:rsidRPr="002D3561">
        <w:t>Mobilní hlasové a datové služby v zahraničí</w:t>
      </w:r>
    </w:p>
    <w:p w14:paraId="281E7F8D" w14:textId="77777777" w:rsidR="00CD77BB" w:rsidRPr="002D3561" w:rsidRDefault="00CD77BB" w:rsidP="00F32762">
      <w:pPr>
        <w:jc w:val="both"/>
        <w:rPr>
          <w:rFonts w:ascii="Arial Narrow" w:hAnsi="Arial Narrow" w:cs="Arial"/>
        </w:rPr>
      </w:pPr>
    </w:p>
    <w:p w14:paraId="351015E5" w14:textId="77777777" w:rsidR="00AB2FC6" w:rsidRPr="002D3561" w:rsidRDefault="00AB2FC6" w:rsidP="007C1D2D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V rámci aktivovaných doplňkových služeb elektronických komunikací požaduje zadavatel, aby mu bylo umožněno využití následujících roamingových služeb:</w:t>
      </w:r>
    </w:p>
    <w:p w14:paraId="4524CB95" w14:textId="77777777" w:rsidR="00AB2FC6" w:rsidRPr="002D3561" w:rsidRDefault="00AB2FC6" w:rsidP="007C1D2D">
      <w:pPr>
        <w:pStyle w:val="Odstavecseseznamem"/>
        <w:numPr>
          <w:ilvl w:val="0"/>
          <w:numId w:val="10"/>
        </w:num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Odchozí a příchozí hovory, odesílání a příjem SMS a MMS v sítích umožňujících příjem a odesílání SMS a MMS (hlasové, textové a multimediální služby roamingu).</w:t>
      </w:r>
    </w:p>
    <w:p w14:paraId="2FA2E15B" w14:textId="77777777" w:rsidR="00AB2FC6" w:rsidRDefault="00AB2FC6" w:rsidP="00F32762">
      <w:pPr>
        <w:pStyle w:val="Odstavecseseznamem"/>
        <w:numPr>
          <w:ilvl w:val="0"/>
          <w:numId w:val="10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Přístup k síti Internet (datové služby roamingu).</w:t>
      </w:r>
    </w:p>
    <w:p w14:paraId="16AC2BD0" w14:textId="77777777" w:rsidR="00AB2FC6" w:rsidRDefault="00AB2FC6" w:rsidP="00F32762">
      <w:pPr>
        <w:jc w:val="both"/>
        <w:rPr>
          <w:rFonts w:ascii="Arial Narrow" w:hAnsi="Arial Narrow" w:cs="Arial"/>
        </w:rPr>
      </w:pPr>
    </w:p>
    <w:p w14:paraId="6619968A" w14:textId="77777777" w:rsidR="00AB2FC6" w:rsidRDefault="00AB2FC6" w:rsidP="00F32762">
      <w:pPr>
        <w:jc w:val="both"/>
        <w:rPr>
          <w:rFonts w:ascii="Arial Narrow" w:hAnsi="Arial Narrow" w:cs="Arial"/>
        </w:rPr>
      </w:pPr>
      <w:r w:rsidRPr="00C45DF9">
        <w:rPr>
          <w:rFonts w:ascii="Arial Narrow" w:hAnsi="Arial Narrow" w:cs="Arial"/>
        </w:rPr>
        <w:t xml:space="preserve">Zadavatel požaduje, aby měl možnost </w:t>
      </w:r>
      <w:r>
        <w:rPr>
          <w:rFonts w:ascii="Arial Narrow" w:hAnsi="Arial Narrow" w:cs="Arial"/>
        </w:rPr>
        <w:t xml:space="preserve">pomocí </w:t>
      </w:r>
      <w:r w:rsidRPr="00C45DF9">
        <w:rPr>
          <w:rFonts w:ascii="Arial Narrow" w:hAnsi="Arial Narrow" w:cs="Arial"/>
        </w:rPr>
        <w:t>administrátora služeb aktivovat a deaktivovat službu mezinárodního odchozího volání na jednotlivých SIM. Zadavatel připouští spojení do mezinárodních destinací ve formě klasické TDM služby, tak i ve formě přenosu hlasu pomocí IP paketů (</w:t>
      </w:r>
      <w:proofErr w:type="spellStart"/>
      <w:r w:rsidRPr="00C45DF9">
        <w:rPr>
          <w:rFonts w:ascii="Arial Narrow" w:hAnsi="Arial Narrow" w:cs="Arial"/>
        </w:rPr>
        <w:t>VoIP</w:t>
      </w:r>
      <w:proofErr w:type="spellEnd"/>
      <w:r w:rsidRPr="00C45DF9">
        <w:rPr>
          <w:rFonts w:ascii="Arial Narrow" w:hAnsi="Arial Narrow" w:cs="Arial"/>
        </w:rPr>
        <w:t>). Jedinou limitující podmínkou pro nabídku služby je fakt, že hovory musí být uskutečňovány v plně automatizovaném režimu a to tak, že uživatel bude využívat ze svého telefonu standardní mezinárodní směrové číslo země následované koncovým telefonním číslem uživatele v dané zemi. Pro zadavatele je nepřípustné, aby uživatelé ručně zadávali „jakékoliv prefixy,“ pro tzv. „levnější“ volání do zahraničí.</w:t>
      </w:r>
    </w:p>
    <w:p w14:paraId="7EB10D03" w14:textId="77777777" w:rsidR="00AB2FC6" w:rsidRDefault="00AB2FC6" w:rsidP="00F32762">
      <w:pPr>
        <w:jc w:val="both"/>
        <w:rPr>
          <w:rFonts w:ascii="Arial Narrow" w:hAnsi="Arial Narrow" w:cs="Arial"/>
        </w:rPr>
      </w:pPr>
    </w:p>
    <w:p w14:paraId="4FDCF419" w14:textId="6E4400B7" w:rsidR="00AB2FC6" w:rsidRPr="00257FA6" w:rsidRDefault="00AB2FC6" w:rsidP="00257FA6">
      <w:pPr>
        <w:pStyle w:val="Nadpis2"/>
      </w:pPr>
      <w:r w:rsidRPr="002D3561">
        <w:t>Mezinárodní hovory do zahraničí</w:t>
      </w:r>
    </w:p>
    <w:p w14:paraId="6A8D5485" w14:textId="77777777" w:rsidR="00AB2FC6" w:rsidRPr="002D3561" w:rsidRDefault="00AB2FC6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Vzhledem k mezinárodní spolupráci zadavatele je požadována co nejjednodušší cenová struktura pro volání do jednotlivých zemí, tj. co nejnižší počet jednotlivých zón (oblastí). Z uvedeného důvodu zadavatel definuje následující zón (oblasti), kam nejčastěji uskutečňuje svá spojení. Po uchazeči požaduje, aby nabídnul vždy maximální jednotkovou cenu v Kč bez DPH za minutu spojení pro uvedenou zónu (oblast), která je nejvýše přípustná a nepřekročitelná.</w:t>
      </w:r>
    </w:p>
    <w:p w14:paraId="4AF072AB" w14:textId="77777777" w:rsidR="00AB2FC6" w:rsidRPr="002D3561" w:rsidRDefault="00AB2FC6" w:rsidP="007C1D2D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Definice zón (oblastí) je následující:</w:t>
      </w:r>
    </w:p>
    <w:p w14:paraId="056BE9BC" w14:textId="77777777" w:rsidR="00AB2FC6" w:rsidRPr="002D3561" w:rsidRDefault="00AB2FC6" w:rsidP="007C1D2D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Evropa – okolní státy (</w:t>
      </w:r>
      <w:r>
        <w:rPr>
          <w:rFonts w:ascii="Arial Narrow" w:hAnsi="Arial Narrow" w:cs="Arial"/>
        </w:rPr>
        <w:t xml:space="preserve">Německo, Polsko, </w:t>
      </w:r>
      <w:r w:rsidRPr="002D3561">
        <w:rPr>
          <w:rFonts w:ascii="Arial Narrow" w:hAnsi="Arial Narrow" w:cs="Arial"/>
        </w:rPr>
        <w:t>Rakousko, Slovensko).</w:t>
      </w:r>
    </w:p>
    <w:p w14:paraId="17F27C15" w14:textId="77777777" w:rsidR="00AB2FC6" w:rsidRPr="002D3561" w:rsidRDefault="00AB2FC6" w:rsidP="00F32762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Evropa – ostatní země EU.</w:t>
      </w:r>
    </w:p>
    <w:p w14:paraId="4C8F009A" w14:textId="7359E533" w:rsidR="00AB2FC6" w:rsidRDefault="00AB2FC6" w:rsidP="00F32762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Arial Narrow" w:hAnsi="Arial Narrow" w:cs="Arial"/>
        </w:rPr>
      </w:pPr>
      <w:r w:rsidRPr="00834D36">
        <w:rPr>
          <w:rFonts w:ascii="Arial Narrow" w:hAnsi="Arial Narrow" w:cs="Arial"/>
        </w:rPr>
        <w:t>Evropa – ostatní evropské země nepatřící do EU (Albánie, Andorra, Bělorusko, Bosna a Hercegovina, Černá Hora, Kosovo, Lichtenštejnsko, Makedonie, Moldavsko, Monako, Norsko, San Marino, Srbsko, Švýcarsko, Turecko, Ukrajina, Vatikán</w:t>
      </w:r>
      <w:r>
        <w:rPr>
          <w:rFonts w:ascii="Arial Narrow" w:hAnsi="Arial Narrow" w:cs="Arial"/>
        </w:rPr>
        <w:t>).</w:t>
      </w:r>
    </w:p>
    <w:p w14:paraId="2516FF05" w14:textId="11A00CD3" w:rsidR="00AB2FC6" w:rsidRPr="00834D36" w:rsidRDefault="00AB2FC6" w:rsidP="00F32762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USA a Kanada</w:t>
      </w:r>
      <w:r w:rsidR="00875D3C">
        <w:rPr>
          <w:rFonts w:ascii="Arial Narrow" w:hAnsi="Arial Narrow" w:cs="Arial"/>
        </w:rPr>
        <w:t>.</w:t>
      </w:r>
    </w:p>
    <w:p w14:paraId="37AAFD45" w14:textId="5CD25B16" w:rsidR="00257FA6" w:rsidRPr="00257FA6" w:rsidRDefault="00AB2FC6" w:rsidP="00F32762">
      <w:pPr>
        <w:pStyle w:val="Odstavecseseznamem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834D36">
        <w:rPr>
          <w:rFonts w:ascii="Arial Narrow" w:hAnsi="Arial Narrow" w:cs="Arial"/>
        </w:rPr>
        <w:t>Svět – ostatní státy světa</w:t>
      </w:r>
      <w:r w:rsidR="00875D3C">
        <w:rPr>
          <w:rFonts w:ascii="Arial Narrow" w:hAnsi="Arial Narrow" w:cs="Arial"/>
        </w:rPr>
        <w:t>.</w:t>
      </w:r>
      <w:r w:rsidRPr="00834D36">
        <w:rPr>
          <w:rFonts w:ascii="Arial Narrow" w:hAnsi="Arial Narrow" w:cs="Arial"/>
        </w:rPr>
        <w:t xml:space="preserve"> </w:t>
      </w:r>
    </w:p>
    <w:p w14:paraId="616DC65B" w14:textId="154A930C" w:rsidR="00AB2FC6" w:rsidRPr="00257FA6" w:rsidRDefault="00AB2FC6" w:rsidP="00257FA6">
      <w:pPr>
        <w:pStyle w:val="Nadpis2"/>
      </w:pPr>
      <w:r w:rsidRPr="002D3561">
        <w:t>Mezinárodní SMS a MMS zprávy</w:t>
      </w:r>
    </w:p>
    <w:p w14:paraId="4B5F74F0" w14:textId="77777777" w:rsidR="00AB2FC6" w:rsidRPr="002D3561" w:rsidRDefault="00AB2FC6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Vzhledem k mezinárodní spolupráci zadavatele je požadována co nejjednodušší cenová struktura za odeslané SMS a MMS zprávy do zahraničí.</w:t>
      </w:r>
    </w:p>
    <w:p w14:paraId="2815F9E6" w14:textId="77777777" w:rsidR="00AB2FC6" w:rsidRPr="002D3561" w:rsidRDefault="00AB2FC6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 uchazeči požaduje, aby nabídnul maximální jednotkovou cenu v Kč bez DPH, která je nejvýše přípustná a nepřekročitelní za jednu SMS zprávu a za jednu MMS zprávu odeslanou na zahraniční číslo dle výše uvedených zón (oblastí).</w:t>
      </w:r>
    </w:p>
    <w:p w14:paraId="6E20B6CE" w14:textId="77777777" w:rsidR="00AB2FC6" w:rsidRDefault="00AB2FC6" w:rsidP="00F32762">
      <w:pPr>
        <w:jc w:val="both"/>
        <w:rPr>
          <w:rFonts w:ascii="Arial Narrow" w:hAnsi="Arial Narrow" w:cs="Arial"/>
        </w:rPr>
      </w:pPr>
    </w:p>
    <w:p w14:paraId="652DDA11" w14:textId="35C302AE" w:rsidR="00AB2FC6" w:rsidRPr="00C45DF9" w:rsidRDefault="00875D3C" w:rsidP="00257FA6">
      <w:pPr>
        <w:pStyle w:val="Nadpis2"/>
      </w:pPr>
      <w:r>
        <w:lastRenderedPageBreak/>
        <w:t>Roamingové</w:t>
      </w:r>
      <w:r w:rsidR="00AB2FC6" w:rsidRPr="002D3561">
        <w:t xml:space="preserve"> </w:t>
      </w:r>
      <w:r w:rsidR="00AB2FC6">
        <w:t xml:space="preserve">datové služby </w:t>
      </w:r>
    </w:p>
    <w:p w14:paraId="2B139937" w14:textId="52C07788" w:rsidR="00AB2FC6" w:rsidRPr="002D3561" w:rsidRDefault="00AB2FC6" w:rsidP="00F32762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</w:t>
      </w:r>
      <w:r w:rsidRPr="002D3561">
        <w:rPr>
          <w:rFonts w:ascii="Arial Narrow" w:hAnsi="Arial Narrow" w:cs="Arial"/>
        </w:rPr>
        <w:t>zhledem k mezinárodnímu působení zaměstnanců zadavatele je požadována co nejjednodušší cenová struktura za provoz SIM v roamingu, tj. co nejnižší počet jednotlivých zón (oblastí). Z uvedeného důvodu zadavatel definuje následující oblasti, kde se jeho zaměstnanci pohybují. Po uchazeči požaduje, aby nabídnul jednorázové datové roamingové balíčky pro jednotlivé zóny (oblasti) s pře</w:t>
      </w:r>
      <w:r w:rsidR="008E46B1">
        <w:rPr>
          <w:rFonts w:ascii="Arial Narrow" w:hAnsi="Arial Narrow" w:cs="Arial"/>
        </w:rPr>
        <w:t>dem definovaným objemem dat</w:t>
      </w:r>
      <w:r w:rsidRPr="002D3561">
        <w:rPr>
          <w:rFonts w:ascii="Arial Narrow" w:hAnsi="Arial Narrow" w:cs="Arial"/>
        </w:rPr>
        <w:t xml:space="preserve">. </w:t>
      </w:r>
    </w:p>
    <w:p w14:paraId="29E9A10F" w14:textId="77777777" w:rsidR="00AB2FC6" w:rsidRPr="002D3561" w:rsidRDefault="00AB2FC6" w:rsidP="007C1D2D">
      <w:pPr>
        <w:spacing w:after="0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Definice zón (oblastí) je následující:</w:t>
      </w:r>
    </w:p>
    <w:p w14:paraId="2C6356ED" w14:textId="4F72819E" w:rsidR="00AB2FC6" w:rsidRPr="002D3561" w:rsidRDefault="00AB2FC6" w:rsidP="007C1D2D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Evropa – země EU.</w:t>
      </w:r>
    </w:p>
    <w:p w14:paraId="7A0A7BDE" w14:textId="76E37997" w:rsidR="00AB2FC6" w:rsidRDefault="00AB2FC6" w:rsidP="00F32762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Arial Narrow" w:hAnsi="Arial Narrow" w:cs="Arial"/>
        </w:rPr>
      </w:pPr>
      <w:r w:rsidRPr="00834D36">
        <w:rPr>
          <w:rFonts w:ascii="Arial Narrow" w:hAnsi="Arial Narrow" w:cs="Arial"/>
        </w:rPr>
        <w:t>Evropa – ostatní evropské země nepatřící do EU (Albánie, Andorra, Bělorusko, Bosna a Hercegovina, Černá Hora, Kosovo, Lichtenštejnsko, Makedonie, Moldavsko, Monako, Norsko, San Marino, Srbsko, Švýcarsko, Turecko, Ukrajina, Vatikán</w:t>
      </w:r>
      <w:r>
        <w:rPr>
          <w:rFonts w:ascii="Arial Narrow" w:hAnsi="Arial Narrow" w:cs="Arial"/>
        </w:rPr>
        <w:t>).</w:t>
      </w:r>
    </w:p>
    <w:p w14:paraId="7F3EE636" w14:textId="77777777" w:rsidR="00AB2FC6" w:rsidRPr="00834D36" w:rsidRDefault="00AB2FC6" w:rsidP="00F32762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USA a Kanada</w:t>
      </w:r>
    </w:p>
    <w:p w14:paraId="2B129B7B" w14:textId="072D82B4" w:rsidR="003E6518" w:rsidRPr="002D3561" w:rsidRDefault="00AB2FC6" w:rsidP="003E6518">
      <w:pPr>
        <w:pStyle w:val="Odstavecseseznamem"/>
        <w:numPr>
          <w:ilvl w:val="0"/>
          <w:numId w:val="6"/>
        </w:numPr>
        <w:jc w:val="both"/>
        <w:rPr>
          <w:rFonts w:ascii="Arial Narrow" w:hAnsi="Arial Narrow" w:cs="Arial"/>
        </w:rPr>
      </w:pPr>
      <w:r w:rsidRPr="00834D36">
        <w:rPr>
          <w:rFonts w:ascii="Arial Narrow" w:hAnsi="Arial Narrow" w:cs="Arial"/>
        </w:rPr>
        <w:t>Svět – ostatní státy světa</w:t>
      </w:r>
      <w:r w:rsidR="003E6518">
        <w:rPr>
          <w:rFonts w:ascii="Arial Narrow" w:hAnsi="Arial Narrow" w:cs="Arial"/>
        </w:rPr>
        <w:t>.</w:t>
      </w:r>
    </w:p>
    <w:p w14:paraId="6A4FB69C" w14:textId="4F918E94" w:rsidR="00AB2FC6" w:rsidRDefault="00AB2FC6" w:rsidP="00F32762">
      <w:pPr>
        <w:pStyle w:val="Odstavecseseznamem"/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.</w:t>
      </w:r>
    </w:p>
    <w:p w14:paraId="2817037A" w14:textId="77777777" w:rsidR="009C5117" w:rsidRPr="002D3561" w:rsidRDefault="009C5117" w:rsidP="00F32762">
      <w:pPr>
        <w:pStyle w:val="Odstavecseseznamem"/>
        <w:jc w:val="both"/>
        <w:rPr>
          <w:rFonts w:ascii="Arial Narrow" w:hAnsi="Arial Narrow" w:cs="Arial"/>
        </w:rPr>
      </w:pPr>
    </w:p>
    <w:p w14:paraId="4C178847" w14:textId="77777777" w:rsidR="00535400" w:rsidRPr="002D3561" w:rsidRDefault="00535400" w:rsidP="00166A5A">
      <w:pPr>
        <w:pStyle w:val="Nadpis1"/>
      </w:pPr>
      <w:r w:rsidRPr="002D3561">
        <w:t>Doplňkové služby mobilních hlasových a datových služeb</w:t>
      </w:r>
    </w:p>
    <w:p w14:paraId="10B08A12" w14:textId="77777777" w:rsidR="00ED4D9D" w:rsidRPr="00ED4D9D" w:rsidRDefault="00ED4D9D">
      <w:pPr>
        <w:pStyle w:val="Nadpis2"/>
      </w:pPr>
      <w:r w:rsidRPr="00ED4D9D">
        <w:t>Hlasová virtuální privátní síť</w:t>
      </w:r>
    </w:p>
    <w:p w14:paraId="5FAD8371" w14:textId="77777777" w:rsidR="00ED4D9D" w:rsidRPr="00ED4D9D" w:rsidRDefault="00ED4D9D" w:rsidP="00F32762">
      <w:pPr>
        <w:jc w:val="both"/>
        <w:rPr>
          <w:rFonts w:ascii="Arial Narrow" w:hAnsi="Arial Narrow"/>
        </w:rPr>
      </w:pPr>
    </w:p>
    <w:p w14:paraId="1E987B04" w14:textId="42EB01E6" w:rsidR="00ED4D9D" w:rsidRPr="00ED4D9D" w:rsidRDefault="00ED4D9D" w:rsidP="00F32762">
      <w:pPr>
        <w:spacing w:after="0"/>
        <w:jc w:val="both"/>
        <w:rPr>
          <w:rFonts w:ascii="Arial Narrow" w:hAnsi="Arial Narrow" w:cs="Arial"/>
        </w:rPr>
      </w:pPr>
      <w:r w:rsidRPr="00ED4D9D">
        <w:rPr>
          <w:rFonts w:ascii="Arial Narrow" w:hAnsi="Arial Narrow" w:cs="Arial"/>
        </w:rPr>
        <w:t>Zadavatel požaduje, aby uchazeč zajistil vytvoření jednotné hlasové virtuální privátní sítě (HVPN), která zajistí bezplatné volání mezi jednotlivými SIM kartami. Jednotlivá čísla budou zařazována do</w:t>
      </w:r>
      <w:r w:rsidR="00074B1C">
        <w:rPr>
          <w:rFonts w:ascii="Arial Narrow" w:hAnsi="Arial Narrow" w:cs="Arial"/>
        </w:rPr>
        <w:t xml:space="preserve"> fakturačních</w:t>
      </w:r>
      <w:r w:rsidRPr="00ED4D9D">
        <w:rPr>
          <w:rFonts w:ascii="Arial Narrow" w:hAnsi="Arial Narrow" w:cs="Arial"/>
        </w:rPr>
        <w:t xml:space="preserve"> skupin podle požadavků Zadavatele. Pro potřeby stanovení ceny za volání v rámci této sítě (hovory mezi SIM kartami Zadavatele zařazenými do VPN) budou všechna čísla (ve všech skupinách) považována za členy jediné </w:t>
      </w:r>
      <w:r w:rsidR="00D96C18">
        <w:rPr>
          <w:rFonts w:ascii="Arial Narrow" w:hAnsi="Arial Narrow" w:cs="Arial"/>
        </w:rPr>
        <w:t>H</w:t>
      </w:r>
      <w:r w:rsidRPr="00ED4D9D">
        <w:rPr>
          <w:rFonts w:ascii="Arial Narrow" w:hAnsi="Arial Narrow" w:cs="Arial"/>
        </w:rPr>
        <w:t xml:space="preserve">VPN sítě. Zadavatel požaduje, aby zřízení </w:t>
      </w:r>
      <w:r w:rsidR="00D96C18">
        <w:rPr>
          <w:rFonts w:ascii="Arial Narrow" w:hAnsi="Arial Narrow" w:cs="Arial"/>
        </w:rPr>
        <w:t>H</w:t>
      </w:r>
      <w:r w:rsidRPr="00ED4D9D">
        <w:rPr>
          <w:rFonts w:ascii="Arial Narrow" w:hAnsi="Arial Narrow" w:cs="Arial"/>
        </w:rPr>
        <w:t xml:space="preserve">VPN a přidávání čísel do </w:t>
      </w:r>
      <w:r w:rsidR="00D96C18">
        <w:rPr>
          <w:rFonts w:ascii="Arial Narrow" w:hAnsi="Arial Narrow" w:cs="Arial"/>
        </w:rPr>
        <w:t>H</w:t>
      </w:r>
      <w:r w:rsidRPr="00ED4D9D">
        <w:rPr>
          <w:rFonts w:ascii="Arial Narrow" w:hAnsi="Arial Narrow" w:cs="Arial"/>
        </w:rPr>
        <w:t xml:space="preserve">VPN (popř. změna skupiny) byly obsaženy v měsíčním paušálním poplatku za používání služby </w:t>
      </w:r>
      <w:r w:rsidR="00D96C18">
        <w:rPr>
          <w:rFonts w:ascii="Arial Narrow" w:hAnsi="Arial Narrow" w:cs="Arial"/>
        </w:rPr>
        <w:t>H</w:t>
      </w:r>
      <w:r w:rsidRPr="00ED4D9D">
        <w:rPr>
          <w:rFonts w:ascii="Arial Narrow" w:hAnsi="Arial Narrow" w:cs="Arial"/>
        </w:rPr>
        <w:t>VPN.</w:t>
      </w:r>
    </w:p>
    <w:p w14:paraId="5AB410AF" w14:textId="77777777" w:rsidR="00571AF8" w:rsidRPr="00ED4D9D" w:rsidRDefault="00571AF8" w:rsidP="00F32762">
      <w:pPr>
        <w:jc w:val="both"/>
        <w:rPr>
          <w:rFonts w:ascii="Arial Narrow" w:hAnsi="Arial Narrow" w:cs="Arial"/>
        </w:rPr>
      </w:pPr>
    </w:p>
    <w:p w14:paraId="226865A2" w14:textId="77777777" w:rsidR="00FA5916" w:rsidRPr="00ED4D9D" w:rsidRDefault="00FA5916">
      <w:pPr>
        <w:pStyle w:val="Nadpis2"/>
      </w:pPr>
      <w:r w:rsidRPr="00ED4D9D">
        <w:t>Začlenění a vyjmutí SIM pod a z podmínek rámcové smlouvy na mobilní služby</w:t>
      </w:r>
    </w:p>
    <w:p w14:paraId="1A0FAB2E" w14:textId="77777777" w:rsidR="00FA5916" w:rsidRPr="00ED4D9D" w:rsidRDefault="00FA5916" w:rsidP="00F32762">
      <w:pPr>
        <w:jc w:val="both"/>
        <w:rPr>
          <w:rFonts w:ascii="Arial Narrow" w:hAnsi="Arial Narrow" w:cs="Arial"/>
        </w:rPr>
      </w:pPr>
    </w:p>
    <w:p w14:paraId="6626C772" w14:textId="77777777" w:rsidR="00FA5916" w:rsidRPr="00ED4D9D" w:rsidRDefault="00FA5916" w:rsidP="00F32762">
      <w:pPr>
        <w:jc w:val="both"/>
        <w:rPr>
          <w:rFonts w:ascii="Arial Narrow" w:hAnsi="Arial Narrow" w:cs="Arial"/>
        </w:rPr>
      </w:pPr>
      <w:r w:rsidRPr="00ED4D9D">
        <w:rPr>
          <w:rFonts w:ascii="Arial Narrow" w:hAnsi="Arial Narrow" w:cs="Arial"/>
        </w:rPr>
        <w:t>Zadavatel požaduje, aby měl možnost prostřednictvím administrátora služeb v průběhu trvání rámcové smlouvy začlenit pod rámcovou smlouvu další SIM karty a to jak v případě, že nebude realizována změna dodavatele služeb, tak i v případě přechodu SIM od jiného operátora v souladu se službou „Přenositelnost mobilních čísel“.</w:t>
      </w:r>
    </w:p>
    <w:p w14:paraId="78BE420B" w14:textId="77777777" w:rsidR="00571AF8" w:rsidRPr="002D3561" w:rsidRDefault="00571AF8" w:rsidP="00F32762">
      <w:pPr>
        <w:jc w:val="both"/>
        <w:rPr>
          <w:rFonts w:ascii="Arial Narrow" w:hAnsi="Arial Narrow" w:cs="Arial"/>
        </w:rPr>
      </w:pPr>
      <w:r w:rsidRPr="00ED4D9D">
        <w:rPr>
          <w:rFonts w:ascii="Arial Narrow" w:hAnsi="Arial Narrow" w:cs="Arial"/>
        </w:rPr>
        <w:t>Obdobně zadavatel požaduje, aby měl možnost vyjmutí SIM karty z režimu rámcové smlouvy (např. při rozvázání pracovního poměru zaměstnance) s následn</w:t>
      </w:r>
      <w:r w:rsidRPr="002D3561">
        <w:rPr>
          <w:rFonts w:ascii="Arial Narrow" w:hAnsi="Arial Narrow" w:cs="Arial"/>
        </w:rPr>
        <w:t>ým převodem buď pod smlouvu jiné fyzické nebo právnické osoby nebo přechodem k jinému operátorovi v souladu se službou „Přenositelnost mobilních čísel“.</w:t>
      </w:r>
    </w:p>
    <w:p w14:paraId="2C9B5C3B" w14:textId="68F7F1EC" w:rsidR="007C1D2D" w:rsidRPr="002D3561" w:rsidRDefault="00DA4F58" w:rsidP="00F32762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Zadavatel požaduje, aby tyto služby</w:t>
      </w:r>
      <w:r w:rsidR="00571AF8" w:rsidRPr="002D3561">
        <w:rPr>
          <w:rFonts w:ascii="Arial Narrow" w:hAnsi="Arial Narrow" w:cs="Arial"/>
        </w:rPr>
        <w:t xml:space="preserve"> byl</w:t>
      </w:r>
      <w:r>
        <w:rPr>
          <w:rFonts w:ascii="Arial Narrow" w:hAnsi="Arial Narrow" w:cs="Arial"/>
        </w:rPr>
        <w:t>y</w:t>
      </w:r>
      <w:r w:rsidR="00571AF8" w:rsidRPr="002D356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obsaženy v měsíčním poplatku za využívání mobilních služeb</w:t>
      </w:r>
      <w:r w:rsidR="00571AF8" w:rsidRPr="002D3561">
        <w:rPr>
          <w:rFonts w:ascii="Arial Narrow" w:hAnsi="Arial Narrow" w:cs="Arial"/>
        </w:rPr>
        <w:t>.</w:t>
      </w:r>
    </w:p>
    <w:p w14:paraId="4B9656EC" w14:textId="0B08DE47" w:rsidR="00ED4D9D" w:rsidRPr="00257FA6" w:rsidRDefault="00ED4D9D" w:rsidP="00257FA6">
      <w:pPr>
        <w:pStyle w:val="Nadpis2"/>
      </w:pPr>
      <w:r w:rsidRPr="002D3561">
        <w:t>Přenositelnost čísel</w:t>
      </w:r>
    </w:p>
    <w:p w14:paraId="61916DDB" w14:textId="77777777" w:rsidR="00ED4D9D" w:rsidRDefault="00ED4D9D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požaduje, aby vítězný uchazeč zabezpečil bezplatné přenesení stávajících telefonních čísel na základě služby „přenositelnost čísel v telekomunikačních sítích ČR“.</w:t>
      </w:r>
    </w:p>
    <w:p w14:paraId="23304766" w14:textId="77777777" w:rsidR="00ED4D9D" w:rsidRPr="00E84A4A" w:rsidRDefault="00ED4D9D" w:rsidP="00F32762">
      <w:pPr>
        <w:jc w:val="both"/>
        <w:rPr>
          <w:rFonts w:ascii="Arial Narrow" w:hAnsi="Arial Narrow" w:cs="Arial"/>
        </w:rPr>
      </w:pPr>
      <w:r w:rsidRPr="00E84A4A">
        <w:rPr>
          <w:rFonts w:ascii="Arial Narrow" w:hAnsi="Arial Narrow" w:cs="Arial"/>
        </w:rPr>
        <w:t xml:space="preserve">Uchazeč ve své nabídce předloží konkrétní návrh postupu migrace </w:t>
      </w:r>
      <w:r>
        <w:rPr>
          <w:rFonts w:ascii="Arial Narrow" w:hAnsi="Arial Narrow" w:cs="Arial"/>
        </w:rPr>
        <w:t>z</w:t>
      </w:r>
      <w:r w:rsidRPr="00E84A4A">
        <w:rPr>
          <w:rFonts w:ascii="Arial Narrow" w:hAnsi="Arial Narrow" w:cs="Arial"/>
        </w:rPr>
        <w:t xml:space="preserve">adavatele k vybranému poskytovateli mobilních komunikačních služeb včetně termínovaného harmonogramu. Tímto nesmí být v žádném případě </w:t>
      </w:r>
      <w:r w:rsidRPr="00074B1C">
        <w:rPr>
          <w:rFonts w:ascii="Arial Narrow" w:hAnsi="Arial Narrow" w:cs="Arial"/>
        </w:rPr>
        <w:t>zásadně omezen provoz a funkce</w:t>
      </w:r>
      <w:r w:rsidRPr="00E84A4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</w:t>
      </w:r>
      <w:r w:rsidRPr="00E84A4A">
        <w:rPr>
          <w:rFonts w:ascii="Arial Narrow" w:hAnsi="Arial Narrow" w:cs="Arial"/>
        </w:rPr>
        <w:t xml:space="preserve">adavatele - v případě omezení vyplývajících z výše uvedené migrace toto musí </w:t>
      </w:r>
      <w:r>
        <w:rPr>
          <w:rFonts w:ascii="Arial Narrow" w:hAnsi="Arial Narrow" w:cs="Arial"/>
        </w:rPr>
        <w:t>u</w:t>
      </w:r>
      <w:r w:rsidRPr="00E84A4A">
        <w:rPr>
          <w:rFonts w:ascii="Arial Narrow" w:hAnsi="Arial Narrow" w:cs="Arial"/>
        </w:rPr>
        <w:t>chazeč uvést ve své nabídce.</w:t>
      </w:r>
    </w:p>
    <w:p w14:paraId="0E2FC98F" w14:textId="77777777" w:rsidR="00ED4D9D" w:rsidRPr="00E84A4A" w:rsidRDefault="00ED4D9D" w:rsidP="00F32762">
      <w:pPr>
        <w:jc w:val="both"/>
        <w:rPr>
          <w:rFonts w:ascii="Arial Narrow" w:hAnsi="Arial Narrow" w:cs="Arial"/>
        </w:rPr>
      </w:pPr>
      <w:r w:rsidRPr="00E84A4A">
        <w:rPr>
          <w:rFonts w:ascii="Arial Narrow" w:hAnsi="Arial Narrow" w:cs="Arial"/>
        </w:rPr>
        <w:t xml:space="preserve">Zadavatel požaduje provedení této migrace v ceně nabídnuté služby a ve lhůtě do </w:t>
      </w:r>
      <w:proofErr w:type="gramStart"/>
      <w:r w:rsidRPr="00E84A4A">
        <w:rPr>
          <w:rFonts w:ascii="Arial Narrow" w:hAnsi="Arial Narrow" w:cs="Arial"/>
        </w:rPr>
        <w:t>60ti</w:t>
      </w:r>
      <w:proofErr w:type="gramEnd"/>
      <w:r w:rsidRPr="00E84A4A">
        <w:rPr>
          <w:rFonts w:ascii="Arial Narrow" w:hAnsi="Arial Narrow" w:cs="Arial"/>
        </w:rPr>
        <w:t xml:space="preserve"> kalendářních dnů od objednání migrace. </w:t>
      </w:r>
    </w:p>
    <w:p w14:paraId="412144A6" w14:textId="7A11612F" w:rsidR="003B1319" w:rsidRPr="00257FA6" w:rsidRDefault="00ED4D9D" w:rsidP="00257FA6">
      <w:pPr>
        <w:jc w:val="both"/>
        <w:rPr>
          <w:rFonts w:ascii="Arial Narrow" w:hAnsi="Arial Narrow" w:cs="Arial"/>
        </w:rPr>
      </w:pPr>
      <w:r w:rsidRPr="00E84A4A">
        <w:rPr>
          <w:rFonts w:ascii="Arial Narrow" w:hAnsi="Arial Narrow" w:cs="Arial"/>
        </w:rPr>
        <w:t xml:space="preserve">Zadavatel požaduje, aby síť </w:t>
      </w:r>
      <w:r>
        <w:rPr>
          <w:rFonts w:ascii="Arial Narrow" w:hAnsi="Arial Narrow" w:cs="Arial"/>
        </w:rPr>
        <w:t>u</w:t>
      </w:r>
      <w:r w:rsidRPr="00E84A4A">
        <w:rPr>
          <w:rFonts w:ascii="Arial Narrow" w:hAnsi="Arial Narrow" w:cs="Arial"/>
        </w:rPr>
        <w:t xml:space="preserve">chazeče byla kompatibilní s mobilními telefony standardu GSM,  UMTS popř. LTE, které </w:t>
      </w:r>
      <w:r>
        <w:rPr>
          <w:rFonts w:ascii="Arial Narrow" w:hAnsi="Arial Narrow" w:cs="Arial"/>
        </w:rPr>
        <w:t>z</w:t>
      </w:r>
      <w:r w:rsidRPr="00E84A4A">
        <w:rPr>
          <w:rFonts w:ascii="Arial Narrow" w:hAnsi="Arial Narrow" w:cs="Arial"/>
        </w:rPr>
        <w:t xml:space="preserve">adavatel v současné době používá. Uchazeč se zavazuje, že ke dni zahájení plnění provede odblokování všech stávajících blokovaných mobilních telefonů </w:t>
      </w:r>
      <w:r>
        <w:rPr>
          <w:rFonts w:ascii="Arial Narrow" w:hAnsi="Arial Narrow" w:cs="Arial"/>
        </w:rPr>
        <w:t>z</w:t>
      </w:r>
      <w:r w:rsidRPr="00E84A4A">
        <w:rPr>
          <w:rFonts w:ascii="Arial Narrow" w:hAnsi="Arial Narrow" w:cs="Arial"/>
        </w:rPr>
        <w:t xml:space="preserve">adavatele z důvodů jejich dalšího používání v mobilní síti vybraného </w:t>
      </w:r>
      <w:r>
        <w:rPr>
          <w:rFonts w:ascii="Arial Narrow" w:hAnsi="Arial Narrow" w:cs="Arial"/>
        </w:rPr>
        <w:t>u</w:t>
      </w:r>
      <w:r w:rsidRPr="00E84A4A">
        <w:rPr>
          <w:rFonts w:ascii="Arial Narrow" w:hAnsi="Arial Narrow" w:cs="Arial"/>
        </w:rPr>
        <w:t>chazeče s možností využití všech požadovaných služeb vymezených předmětem veřejné zakázky. Toto odblokování musí být zahrnuto v ceně služeb, nesmí být samostatně zpoplatněno. Uchazeč se zároveň zavazuje poskytnout</w:t>
      </w:r>
      <w:r w:rsidR="008F1334">
        <w:rPr>
          <w:rFonts w:ascii="Arial Narrow" w:hAnsi="Arial Narrow" w:cs="Arial"/>
        </w:rPr>
        <w:t xml:space="preserve"> bezplatnou</w:t>
      </w:r>
      <w:r w:rsidRPr="00E84A4A">
        <w:rPr>
          <w:rFonts w:ascii="Arial Narrow" w:hAnsi="Arial Narrow" w:cs="Arial"/>
        </w:rPr>
        <w:t xml:space="preserve"> součinnost při přenášení dat (zejména konta</w:t>
      </w:r>
      <w:r>
        <w:rPr>
          <w:rFonts w:ascii="Arial Narrow" w:hAnsi="Arial Narrow" w:cs="Arial"/>
        </w:rPr>
        <w:t>ktů) ze stávajících na nové SIM a rovněž další případnou podporu při procedurálním řešení přenosu čísel.</w:t>
      </w:r>
      <w:r w:rsidRPr="002D3561">
        <w:rPr>
          <w:rFonts w:ascii="Arial Narrow" w:hAnsi="Arial Narrow" w:cs="Arial"/>
        </w:rPr>
        <w:t xml:space="preserve"> Detailní popis této podpory specifikuje uchazeč ve své nabídce.</w:t>
      </w:r>
    </w:p>
    <w:p w14:paraId="53A79593" w14:textId="07CA4CA0" w:rsidR="00FA5916" w:rsidRPr="00257FA6" w:rsidRDefault="00571AF8" w:rsidP="00257FA6">
      <w:pPr>
        <w:pStyle w:val="Nadpis2"/>
      </w:pPr>
      <w:r w:rsidRPr="002D3561">
        <w:lastRenderedPageBreak/>
        <w:t>Služby administrace SIM karet v mobilních telefonech</w:t>
      </w:r>
    </w:p>
    <w:p w14:paraId="5F21F7FA" w14:textId="77777777" w:rsidR="00CD2AA7" w:rsidRPr="002D3561" w:rsidRDefault="00571AF8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Zadavatel požaduje, aby uchazeč bezplatně zabezpečil následující požadavky zadavatele v oblasti služeb administrace SIM karet v mobilních telefonech:</w:t>
      </w:r>
    </w:p>
    <w:p w14:paraId="353307EA" w14:textId="77777777" w:rsidR="00571AF8" w:rsidRPr="002D3561" w:rsidRDefault="00571AF8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Administrace SIM karet (změny v nastavení služeb) a veškerá komunikace (hlasová nebo elektronickou poštou) bude probíhat výhradně prostřednictvím určených administrátorů služeb.</w:t>
      </w:r>
    </w:p>
    <w:p w14:paraId="01C36A89" w14:textId="77777777" w:rsidR="00571AF8" w:rsidRPr="002D3561" w:rsidRDefault="00571AF8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Dodávky nově objednaných SIM karet, včetně výměny vadných a vystavení náhradních za ztracené nebo odcizené, budou zabezpečeny nejpozději do 2 pracovních dnů od objednávky.</w:t>
      </w:r>
    </w:p>
    <w:p w14:paraId="40DACB08" w14:textId="77777777" w:rsidR="00571AF8" w:rsidRPr="002D3561" w:rsidRDefault="00571AF8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Blokování SIM karet ve ztracených nebo odcizených mobilních telefonech pro odchozí provoz na žádost administrátora služeb bude provedeno neprodleně, nejpozději však do 30 minut od nahlášení požadavku.</w:t>
      </w:r>
    </w:p>
    <w:p w14:paraId="24ABD3C4" w14:textId="2C674685" w:rsidR="00571AF8" w:rsidRPr="002D3561" w:rsidRDefault="00571AF8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Minimálně jedenkrát měsíčně bude možné uplatnit požadavek na změnu jak základního hlasového tarifu, tak i tarifu doplňkové mobilní datové služby u každé z aktivovaných SIM karet.</w:t>
      </w:r>
    </w:p>
    <w:p w14:paraId="6EE7D939" w14:textId="77777777" w:rsidR="00571AF8" w:rsidRPr="002D3561" w:rsidRDefault="00571AF8" w:rsidP="00F32762">
      <w:pPr>
        <w:pStyle w:val="Odstavecseseznamem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>K jednotlivým SIM kartám dodavatel umožní aktivovat nebo deaktivovat vybrané okruhy doplňkových služeb (mezinárodní hovory, roaming, data v roamingu, přístup k síti Internet, WAP, MMS, volání na 90X, DMS, prémiové SMS, apod.) na žádost administrátora služeb.</w:t>
      </w:r>
    </w:p>
    <w:p w14:paraId="4F854370" w14:textId="4DCABE86" w:rsidR="00B7091C" w:rsidRPr="002D3561" w:rsidRDefault="00B7091C" w:rsidP="00F32762">
      <w:pPr>
        <w:jc w:val="both"/>
        <w:rPr>
          <w:rFonts w:ascii="Arial Narrow" w:hAnsi="Arial Narrow" w:cs="Arial"/>
        </w:rPr>
      </w:pPr>
      <w:r w:rsidRPr="002D3561">
        <w:rPr>
          <w:rFonts w:ascii="Arial Narrow" w:hAnsi="Arial Narrow" w:cs="Arial"/>
        </w:rPr>
        <w:t xml:space="preserve">Administrace SIM karet v uvedeném rozsahu bude možné řešit </w:t>
      </w:r>
      <w:r w:rsidR="008F1334">
        <w:rPr>
          <w:rFonts w:ascii="Arial Narrow" w:hAnsi="Arial Narrow" w:cs="Arial"/>
        </w:rPr>
        <w:t xml:space="preserve">i </w:t>
      </w:r>
      <w:r w:rsidRPr="002D3561">
        <w:rPr>
          <w:rFonts w:ascii="Arial Narrow" w:hAnsi="Arial Narrow" w:cs="Arial"/>
        </w:rPr>
        <w:t>elektronicky, prostřednictvím webové online aplikace.</w:t>
      </w:r>
    </w:p>
    <w:p w14:paraId="095D7A8C" w14:textId="75989823" w:rsidR="00A25A5D" w:rsidRPr="00257FA6" w:rsidRDefault="00DA4F58" w:rsidP="00257FA6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Zadavatel požaduje, aby tyto služby</w:t>
      </w:r>
      <w:r w:rsidRPr="002D3561">
        <w:rPr>
          <w:rFonts w:ascii="Arial Narrow" w:hAnsi="Arial Narrow" w:cs="Arial"/>
        </w:rPr>
        <w:t xml:space="preserve"> byl</w:t>
      </w:r>
      <w:r>
        <w:rPr>
          <w:rFonts w:ascii="Arial Narrow" w:hAnsi="Arial Narrow" w:cs="Arial"/>
        </w:rPr>
        <w:t>y</w:t>
      </w:r>
      <w:r w:rsidRPr="002D356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obsaženy v měsíčním poplatku za využívání mobilních služeb</w:t>
      </w:r>
      <w:r w:rsidRPr="002D3561">
        <w:rPr>
          <w:rFonts w:ascii="Arial Narrow" w:hAnsi="Arial Narrow" w:cs="Arial"/>
        </w:rPr>
        <w:t>.</w:t>
      </w:r>
    </w:p>
    <w:p w14:paraId="44AB64D2" w14:textId="77777777" w:rsidR="009C5117" w:rsidRPr="00ED4D9D" w:rsidRDefault="009C5117" w:rsidP="009C5117">
      <w:pPr>
        <w:pStyle w:val="Nadpis2"/>
      </w:pPr>
      <w:r w:rsidRPr="00ED4D9D">
        <w:t>Sleva na nákup koncových mobilních zařízení</w:t>
      </w:r>
    </w:p>
    <w:p w14:paraId="7E4798CA" w14:textId="77777777" w:rsidR="009C5117" w:rsidRPr="00ED4D9D" w:rsidRDefault="009C5117" w:rsidP="009C5117">
      <w:pPr>
        <w:pStyle w:val="Bezmezer"/>
        <w:jc w:val="both"/>
        <w:rPr>
          <w:rFonts w:ascii="Arial Narrow" w:hAnsi="Arial Narrow"/>
        </w:rPr>
      </w:pPr>
    </w:p>
    <w:p w14:paraId="5018D012" w14:textId="6EA9860B" w:rsidR="00BC6B82" w:rsidRDefault="009C5117" w:rsidP="009C5117">
      <w:pPr>
        <w:pStyle w:val="Bezmezer"/>
        <w:jc w:val="both"/>
        <w:rPr>
          <w:rFonts w:ascii="Arial Narrow" w:hAnsi="Arial Narrow"/>
        </w:rPr>
      </w:pPr>
      <w:r w:rsidRPr="00ED4D9D">
        <w:rPr>
          <w:rFonts w:ascii="Arial Narrow" w:hAnsi="Arial Narrow"/>
        </w:rPr>
        <w:t xml:space="preserve">Uchazeč nabídne v rámci své nabídky plošnou slevu na nákup koncových mobilních zařízení sítí elektronických komunikací, poskytnutou formou speciálního rozpočtu (tzv. „budgetu“) </w:t>
      </w:r>
      <w:r w:rsidR="00BC6B82">
        <w:rPr>
          <w:rFonts w:ascii="Arial Narrow" w:hAnsi="Arial Narrow"/>
          <w:color w:val="000000"/>
          <w:sz w:val="20"/>
          <w:szCs w:val="20"/>
        </w:rPr>
        <w:t xml:space="preserve">“) </w:t>
      </w:r>
      <w:r w:rsidR="00BC6B82" w:rsidRPr="00F81C44">
        <w:rPr>
          <w:rFonts w:ascii="Arial Narrow" w:hAnsi="Arial Narrow"/>
          <w:sz w:val="20"/>
          <w:szCs w:val="20"/>
        </w:rPr>
        <w:t xml:space="preserve">v celkové výši 200 000 Kč bez DPH, </w:t>
      </w:r>
      <w:r w:rsidRPr="00ED4D9D">
        <w:rPr>
          <w:rFonts w:ascii="Arial Narrow" w:hAnsi="Arial Narrow"/>
        </w:rPr>
        <w:t>z jehož výše bude pořízení zařízení kryto. Tento budget bude využíván výhradně pro nákup koncových mobilních zařízení a veškerého příslušenství sítí elektronických komunikací a zadavatel nepřipouští prostřednictvím budgetu dotovat jiná plně</w:t>
      </w:r>
      <w:r>
        <w:rPr>
          <w:rFonts w:ascii="Arial Narrow" w:hAnsi="Arial Narrow"/>
        </w:rPr>
        <w:t>ní v rámci této veřejné zakázky</w:t>
      </w:r>
      <w:r w:rsidRPr="00ED4D9D">
        <w:rPr>
          <w:rFonts w:ascii="Arial Narrow" w:hAnsi="Arial Narrow"/>
        </w:rPr>
        <w:t>.</w:t>
      </w:r>
      <w:r w:rsidR="00BC6B82" w:rsidRPr="00BC6B82">
        <w:t xml:space="preserve"> </w:t>
      </w:r>
      <w:r w:rsidR="00BC6B82" w:rsidRPr="00BC6B82">
        <w:rPr>
          <w:rFonts w:ascii="Arial Narrow" w:hAnsi="Arial Narrow"/>
        </w:rPr>
        <w:t>Uchazeč se zavazuje, že koncová mobilní zařízení a veškeré příslušenství bude nabízeno za podmínek nákupu pro významné zákazníky, zároveň v rámci dodání nebudou účtovány žádné další dodatečné poplatky. Místem dodání bude vždy sídlo zadavatele</w:t>
      </w:r>
    </w:p>
    <w:p w14:paraId="1BBD68AF" w14:textId="62F333FB" w:rsidR="009C5117" w:rsidRPr="00ED4D9D" w:rsidRDefault="009C5117" w:rsidP="009C5117">
      <w:pPr>
        <w:pStyle w:val="Bezmezer"/>
        <w:jc w:val="both"/>
        <w:rPr>
          <w:rFonts w:ascii="Arial Narrow" w:hAnsi="Arial Narrow"/>
        </w:rPr>
      </w:pPr>
      <w:r w:rsidRPr="00ED4D9D">
        <w:rPr>
          <w:rFonts w:ascii="Arial Narrow" w:hAnsi="Arial Narrow"/>
        </w:rPr>
        <w:t xml:space="preserve">Budget musí být k dispozici po celou dobu trvání rámcové smlouvy, nebo do doby jeho úplného vyčerpání. Čerpání budgetu se předpokládá rovnoměrně v průběhu celé doby trvání smlouvy, tj. první </w:t>
      </w:r>
      <w:r w:rsidR="00BC6B82">
        <w:rPr>
          <w:rFonts w:ascii="Arial Narrow" w:hAnsi="Arial Narrow"/>
        </w:rPr>
        <w:t>polovina</w:t>
      </w:r>
      <w:r w:rsidRPr="00ED4D9D">
        <w:rPr>
          <w:rFonts w:ascii="Arial Narrow" w:hAnsi="Arial Narrow"/>
        </w:rPr>
        <w:t xml:space="preserve"> budgetu </w:t>
      </w:r>
      <w:r>
        <w:rPr>
          <w:rFonts w:ascii="Arial Narrow" w:hAnsi="Arial Narrow"/>
        </w:rPr>
        <w:t xml:space="preserve">bude </w:t>
      </w:r>
      <w:r w:rsidRPr="00ED4D9D">
        <w:rPr>
          <w:rFonts w:ascii="Arial Narrow" w:hAnsi="Arial Narrow"/>
        </w:rPr>
        <w:t>vyčerpá</w:t>
      </w:r>
      <w:r>
        <w:rPr>
          <w:rFonts w:ascii="Arial Narrow" w:hAnsi="Arial Narrow"/>
        </w:rPr>
        <w:t>na</w:t>
      </w:r>
      <w:r w:rsidRPr="00ED4D9D">
        <w:rPr>
          <w:rFonts w:ascii="Arial Narrow" w:hAnsi="Arial Narrow"/>
        </w:rPr>
        <w:t xml:space="preserve"> v</w:t>
      </w:r>
      <w:r>
        <w:rPr>
          <w:rFonts w:ascii="Arial Narrow" w:hAnsi="Arial Narrow"/>
        </w:rPr>
        <w:t> </w:t>
      </w:r>
      <w:r w:rsidRPr="00ED4D9D">
        <w:rPr>
          <w:rFonts w:ascii="Arial Narrow" w:hAnsi="Arial Narrow"/>
        </w:rPr>
        <w:t>první</w:t>
      </w:r>
      <w:r>
        <w:rPr>
          <w:rFonts w:ascii="Arial Narrow" w:hAnsi="Arial Narrow"/>
        </w:rPr>
        <w:t>m</w:t>
      </w:r>
      <w:r w:rsidRPr="00ED4D9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roce</w:t>
      </w:r>
      <w:r w:rsidRPr="00ED4D9D">
        <w:rPr>
          <w:rFonts w:ascii="Arial Narrow" w:hAnsi="Arial Narrow"/>
        </w:rPr>
        <w:t xml:space="preserve"> trvání rámcové smlouvy, druh</w:t>
      </w:r>
      <w:r w:rsidR="00BC6B82">
        <w:rPr>
          <w:rFonts w:ascii="Arial Narrow" w:hAnsi="Arial Narrow"/>
        </w:rPr>
        <w:t>á</w:t>
      </w:r>
      <w:r w:rsidRPr="00ED4D9D">
        <w:rPr>
          <w:rFonts w:ascii="Arial Narrow" w:hAnsi="Arial Narrow"/>
        </w:rPr>
        <w:t xml:space="preserve"> </w:t>
      </w:r>
      <w:r w:rsidR="00BC6B82">
        <w:rPr>
          <w:rFonts w:ascii="Arial Narrow" w:hAnsi="Arial Narrow"/>
        </w:rPr>
        <w:t>polovi</w:t>
      </w:r>
      <w:r>
        <w:rPr>
          <w:rFonts w:ascii="Arial Narrow" w:hAnsi="Arial Narrow"/>
        </w:rPr>
        <w:t>na</w:t>
      </w:r>
      <w:r w:rsidRPr="00ED4D9D">
        <w:rPr>
          <w:rFonts w:ascii="Arial Narrow" w:hAnsi="Arial Narrow"/>
        </w:rPr>
        <w:t xml:space="preserve"> budgetu v</w:t>
      </w:r>
      <w:r>
        <w:rPr>
          <w:rFonts w:ascii="Arial Narrow" w:hAnsi="Arial Narrow"/>
        </w:rPr>
        <w:t> </w:t>
      </w:r>
      <w:r w:rsidRPr="00ED4D9D">
        <w:rPr>
          <w:rFonts w:ascii="Arial Narrow" w:hAnsi="Arial Narrow"/>
        </w:rPr>
        <w:t>druh</w:t>
      </w:r>
      <w:r>
        <w:rPr>
          <w:rFonts w:ascii="Arial Narrow" w:hAnsi="Arial Narrow"/>
        </w:rPr>
        <w:t>ém roce</w:t>
      </w:r>
      <w:r w:rsidRPr="00ED4D9D">
        <w:rPr>
          <w:rFonts w:ascii="Arial Narrow" w:hAnsi="Arial Narrow"/>
        </w:rPr>
        <w:t xml:space="preserve"> trvání rámcové smlouvy</w:t>
      </w:r>
      <w:r w:rsidR="00BC6B82">
        <w:rPr>
          <w:rFonts w:ascii="Arial Narrow" w:hAnsi="Arial Narrow"/>
        </w:rPr>
        <w:t>.</w:t>
      </w:r>
    </w:p>
    <w:p w14:paraId="4A3074EF" w14:textId="76EA5609" w:rsidR="009C5117" w:rsidRPr="00166A5A" w:rsidRDefault="009C5117" w:rsidP="00F81C44">
      <w:bookmarkStart w:id="0" w:name="_GoBack"/>
      <w:bookmarkEnd w:id="0"/>
    </w:p>
    <w:sectPr w:rsidR="009C5117" w:rsidRPr="00166A5A" w:rsidSect="005146D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0F30D1" w15:done="0"/>
  <w15:commentEx w15:paraId="7CC79243" w15:done="0"/>
  <w15:commentEx w15:paraId="2A5B1DD5" w15:done="0"/>
  <w15:commentEx w15:paraId="46032054" w15:paraIdParent="2A5B1DD5" w15:done="0"/>
  <w15:commentEx w15:paraId="58051CEB" w15:done="0"/>
  <w15:commentEx w15:paraId="79E1E700" w15:paraIdParent="58051CE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6858"/>
    <w:multiLevelType w:val="hybridMultilevel"/>
    <w:tmpl w:val="83BC2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60F9F"/>
    <w:multiLevelType w:val="hybridMultilevel"/>
    <w:tmpl w:val="FDCAD0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351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4879F2"/>
    <w:multiLevelType w:val="hybridMultilevel"/>
    <w:tmpl w:val="31D049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31F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21B4BC8"/>
    <w:multiLevelType w:val="multilevel"/>
    <w:tmpl w:val="FFAC0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5F22AF2"/>
    <w:multiLevelType w:val="hybridMultilevel"/>
    <w:tmpl w:val="67B4F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8852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283A8A"/>
    <w:multiLevelType w:val="multilevel"/>
    <w:tmpl w:val="38F450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6860FB"/>
    <w:multiLevelType w:val="hybridMultilevel"/>
    <w:tmpl w:val="4210B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174914"/>
    <w:multiLevelType w:val="hybridMultilevel"/>
    <w:tmpl w:val="6C4AF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E1EF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106712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1FF4237"/>
    <w:multiLevelType w:val="hybridMultilevel"/>
    <w:tmpl w:val="E9364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744F03"/>
    <w:multiLevelType w:val="multilevel"/>
    <w:tmpl w:val="4C361E5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3BF59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75F08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B8E75AA"/>
    <w:multiLevelType w:val="hybridMultilevel"/>
    <w:tmpl w:val="BE5C4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B23C21"/>
    <w:multiLevelType w:val="hybridMultilevel"/>
    <w:tmpl w:val="074AE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286106"/>
    <w:multiLevelType w:val="hybridMultilevel"/>
    <w:tmpl w:val="F04C5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5766A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7BF7A9D"/>
    <w:multiLevelType w:val="hybridMultilevel"/>
    <w:tmpl w:val="1062E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C29F6"/>
    <w:multiLevelType w:val="hybridMultilevel"/>
    <w:tmpl w:val="FBACB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47FC5"/>
    <w:multiLevelType w:val="hybridMultilevel"/>
    <w:tmpl w:val="F1CA5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B32D4B"/>
    <w:multiLevelType w:val="hybridMultilevel"/>
    <w:tmpl w:val="EE362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6A5180"/>
    <w:multiLevelType w:val="multilevel"/>
    <w:tmpl w:val="DEC0FA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7267A3"/>
    <w:multiLevelType w:val="hybridMultilevel"/>
    <w:tmpl w:val="34B46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27584"/>
    <w:multiLevelType w:val="hybridMultilevel"/>
    <w:tmpl w:val="262CC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033F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20C0B0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5575F52"/>
    <w:multiLevelType w:val="hybridMultilevel"/>
    <w:tmpl w:val="55867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8A76B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7A40FE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81A60A4"/>
    <w:multiLevelType w:val="multilevel"/>
    <w:tmpl w:val="9B8CD3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88C53B0"/>
    <w:multiLevelType w:val="hybridMultilevel"/>
    <w:tmpl w:val="9D00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5D2F1A"/>
    <w:multiLevelType w:val="hybridMultilevel"/>
    <w:tmpl w:val="BBD6A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1947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9"/>
  </w:num>
  <w:num w:numId="3">
    <w:abstractNumId w:val="25"/>
  </w:num>
  <w:num w:numId="4">
    <w:abstractNumId w:val="21"/>
  </w:num>
  <w:num w:numId="5">
    <w:abstractNumId w:val="23"/>
  </w:num>
  <w:num w:numId="6">
    <w:abstractNumId w:val="19"/>
  </w:num>
  <w:num w:numId="7">
    <w:abstractNumId w:val="12"/>
  </w:num>
  <w:num w:numId="8">
    <w:abstractNumId w:val="29"/>
  </w:num>
  <w:num w:numId="9">
    <w:abstractNumId w:val="8"/>
  </w:num>
  <w:num w:numId="10">
    <w:abstractNumId w:val="18"/>
  </w:num>
  <w:num w:numId="11">
    <w:abstractNumId w:val="36"/>
  </w:num>
  <w:num w:numId="12">
    <w:abstractNumId w:val="11"/>
  </w:num>
  <w:num w:numId="13">
    <w:abstractNumId w:val="26"/>
  </w:num>
  <w:num w:numId="14">
    <w:abstractNumId w:val="20"/>
  </w:num>
  <w:num w:numId="15">
    <w:abstractNumId w:val="31"/>
  </w:num>
  <w:num w:numId="16">
    <w:abstractNumId w:val="4"/>
  </w:num>
  <w:num w:numId="17">
    <w:abstractNumId w:val="22"/>
  </w:num>
  <w:num w:numId="18">
    <w:abstractNumId w:val="7"/>
  </w:num>
  <w:num w:numId="19">
    <w:abstractNumId w:val="2"/>
  </w:num>
  <w:num w:numId="20">
    <w:abstractNumId w:val="15"/>
  </w:num>
  <w:num w:numId="21">
    <w:abstractNumId w:val="16"/>
  </w:num>
  <w:num w:numId="22">
    <w:abstractNumId w:val="32"/>
  </w:num>
  <w:num w:numId="23">
    <w:abstractNumId w:val="28"/>
  </w:num>
  <w:num w:numId="24">
    <w:abstractNumId w:val="33"/>
  </w:num>
  <w:num w:numId="25">
    <w:abstractNumId w:val="5"/>
  </w:num>
  <w:num w:numId="26">
    <w:abstractNumId w:val="6"/>
  </w:num>
  <w:num w:numId="27">
    <w:abstractNumId w:val="10"/>
  </w:num>
  <w:num w:numId="28">
    <w:abstractNumId w:val="1"/>
  </w:num>
  <w:num w:numId="29">
    <w:abstractNumId w:val="30"/>
  </w:num>
  <w:num w:numId="30">
    <w:abstractNumId w:val="35"/>
  </w:num>
  <w:num w:numId="31">
    <w:abstractNumId w:val="27"/>
  </w:num>
  <w:num w:numId="32">
    <w:abstractNumId w:val="17"/>
  </w:num>
  <w:num w:numId="33">
    <w:abstractNumId w:val="34"/>
  </w:num>
  <w:num w:numId="34">
    <w:abstractNumId w:val="24"/>
  </w:num>
  <w:num w:numId="35">
    <w:abstractNumId w:val="13"/>
  </w:num>
  <w:num w:numId="36">
    <w:abstractNumId w:val="14"/>
  </w:num>
  <w:num w:numId="37">
    <w:abstractNumId w:val="3"/>
  </w:num>
  <w:numIdMacAtCleanup w:val="3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am Zbyněk">
    <w15:presenceInfo w15:providerId="AD" w15:userId="S-1-5-21-725345543-651377827-2146715285-1782"/>
  </w15:person>
  <w15:person w15:author="Pejchar Josef">
    <w15:presenceInfo w15:providerId="AD" w15:userId="S-1-5-21-725345543-651377827-2146715285-12784"/>
  </w15:person>
  <w15:person w15:author="Kupčiha Lukáš">
    <w15:presenceInfo w15:providerId="AD" w15:userId="S-1-5-21-725345543-651377827-2146715285-98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C3"/>
    <w:rsid w:val="00011740"/>
    <w:rsid w:val="00022004"/>
    <w:rsid w:val="00026D6D"/>
    <w:rsid w:val="00047365"/>
    <w:rsid w:val="00050098"/>
    <w:rsid w:val="00074B1C"/>
    <w:rsid w:val="000C0471"/>
    <w:rsid w:val="000D441D"/>
    <w:rsid w:val="000E45E2"/>
    <w:rsid w:val="00122D8A"/>
    <w:rsid w:val="00130FCD"/>
    <w:rsid w:val="001378DF"/>
    <w:rsid w:val="00166A5A"/>
    <w:rsid w:val="001678AF"/>
    <w:rsid w:val="001E2B53"/>
    <w:rsid w:val="002063B8"/>
    <w:rsid w:val="0022552B"/>
    <w:rsid w:val="00231AB5"/>
    <w:rsid w:val="00257FA6"/>
    <w:rsid w:val="002C6A59"/>
    <w:rsid w:val="002D3561"/>
    <w:rsid w:val="002D43A1"/>
    <w:rsid w:val="00301564"/>
    <w:rsid w:val="00323E41"/>
    <w:rsid w:val="003241BE"/>
    <w:rsid w:val="003373D5"/>
    <w:rsid w:val="0037373F"/>
    <w:rsid w:val="003B1319"/>
    <w:rsid w:val="003B6001"/>
    <w:rsid w:val="003E6518"/>
    <w:rsid w:val="003E6B65"/>
    <w:rsid w:val="004039E9"/>
    <w:rsid w:val="0043173C"/>
    <w:rsid w:val="00437FA8"/>
    <w:rsid w:val="00470930"/>
    <w:rsid w:val="00471AA1"/>
    <w:rsid w:val="0049183A"/>
    <w:rsid w:val="004C10DE"/>
    <w:rsid w:val="004C5E12"/>
    <w:rsid w:val="004D03C8"/>
    <w:rsid w:val="004D2B57"/>
    <w:rsid w:val="004D38CF"/>
    <w:rsid w:val="004F5DD7"/>
    <w:rsid w:val="005146D9"/>
    <w:rsid w:val="00535400"/>
    <w:rsid w:val="005428E7"/>
    <w:rsid w:val="0054673C"/>
    <w:rsid w:val="00571AF8"/>
    <w:rsid w:val="00584247"/>
    <w:rsid w:val="005954FF"/>
    <w:rsid w:val="005A1BA5"/>
    <w:rsid w:val="005C1ABD"/>
    <w:rsid w:val="005E3311"/>
    <w:rsid w:val="005F22F2"/>
    <w:rsid w:val="0064067A"/>
    <w:rsid w:val="006600B6"/>
    <w:rsid w:val="00694273"/>
    <w:rsid w:val="006A7CEE"/>
    <w:rsid w:val="006D5B01"/>
    <w:rsid w:val="006F0B1F"/>
    <w:rsid w:val="0071715F"/>
    <w:rsid w:val="00717391"/>
    <w:rsid w:val="00720E7B"/>
    <w:rsid w:val="00722BDB"/>
    <w:rsid w:val="0074506C"/>
    <w:rsid w:val="0076339C"/>
    <w:rsid w:val="007729A1"/>
    <w:rsid w:val="007764BA"/>
    <w:rsid w:val="007A74E1"/>
    <w:rsid w:val="007B11B7"/>
    <w:rsid w:val="007C1D2D"/>
    <w:rsid w:val="007C716F"/>
    <w:rsid w:val="008129E1"/>
    <w:rsid w:val="00834D36"/>
    <w:rsid w:val="00875D3C"/>
    <w:rsid w:val="008C341E"/>
    <w:rsid w:val="008C3A42"/>
    <w:rsid w:val="008D1528"/>
    <w:rsid w:val="008E3902"/>
    <w:rsid w:val="008E46B1"/>
    <w:rsid w:val="008E575D"/>
    <w:rsid w:val="008F1334"/>
    <w:rsid w:val="0090460A"/>
    <w:rsid w:val="00907E92"/>
    <w:rsid w:val="009139A6"/>
    <w:rsid w:val="009203BF"/>
    <w:rsid w:val="0092458F"/>
    <w:rsid w:val="00926878"/>
    <w:rsid w:val="00933658"/>
    <w:rsid w:val="009356EC"/>
    <w:rsid w:val="00972A39"/>
    <w:rsid w:val="00994EF6"/>
    <w:rsid w:val="009A1EDD"/>
    <w:rsid w:val="009A53C4"/>
    <w:rsid w:val="009C5117"/>
    <w:rsid w:val="009D5D29"/>
    <w:rsid w:val="009D66D8"/>
    <w:rsid w:val="00A07471"/>
    <w:rsid w:val="00A118F6"/>
    <w:rsid w:val="00A25A5D"/>
    <w:rsid w:val="00A31809"/>
    <w:rsid w:val="00A470F2"/>
    <w:rsid w:val="00A73341"/>
    <w:rsid w:val="00A913EA"/>
    <w:rsid w:val="00A93E57"/>
    <w:rsid w:val="00A94B75"/>
    <w:rsid w:val="00A97313"/>
    <w:rsid w:val="00AB2FC6"/>
    <w:rsid w:val="00AD172B"/>
    <w:rsid w:val="00AE6BBC"/>
    <w:rsid w:val="00B328D4"/>
    <w:rsid w:val="00B638F6"/>
    <w:rsid w:val="00B7091C"/>
    <w:rsid w:val="00BB7722"/>
    <w:rsid w:val="00BC6B82"/>
    <w:rsid w:val="00C12BA3"/>
    <w:rsid w:val="00C40601"/>
    <w:rsid w:val="00C5367D"/>
    <w:rsid w:val="00C667FE"/>
    <w:rsid w:val="00CA6823"/>
    <w:rsid w:val="00CC4971"/>
    <w:rsid w:val="00CD2AA7"/>
    <w:rsid w:val="00CD77BB"/>
    <w:rsid w:val="00CE781A"/>
    <w:rsid w:val="00D23504"/>
    <w:rsid w:val="00D330B8"/>
    <w:rsid w:val="00D438F5"/>
    <w:rsid w:val="00D96C18"/>
    <w:rsid w:val="00D96DB4"/>
    <w:rsid w:val="00D97AE7"/>
    <w:rsid w:val="00DA4F58"/>
    <w:rsid w:val="00DC0B98"/>
    <w:rsid w:val="00DD16D1"/>
    <w:rsid w:val="00E11F75"/>
    <w:rsid w:val="00E23254"/>
    <w:rsid w:val="00E47C02"/>
    <w:rsid w:val="00E550DB"/>
    <w:rsid w:val="00E84A4A"/>
    <w:rsid w:val="00EB7584"/>
    <w:rsid w:val="00EC2A8B"/>
    <w:rsid w:val="00ED4D9D"/>
    <w:rsid w:val="00F0141E"/>
    <w:rsid w:val="00F32762"/>
    <w:rsid w:val="00F54FA6"/>
    <w:rsid w:val="00F572C3"/>
    <w:rsid w:val="00F81C44"/>
    <w:rsid w:val="00FA5916"/>
    <w:rsid w:val="00FB412E"/>
    <w:rsid w:val="00FB6A1A"/>
    <w:rsid w:val="00FC1F0D"/>
    <w:rsid w:val="00FC5070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7E1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1809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66A5A"/>
    <w:pPr>
      <w:keepNext/>
      <w:keepLines/>
      <w:numPr>
        <w:numId w:val="36"/>
      </w:numPr>
      <w:spacing w:after="0"/>
      <w:jc w:val="both"/>
      <w:outlineLvl w:val="0"/>
    </w:pPr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4506C"/>
    <w:pPr>
      <w:keepNext/>
      <w:keepLines/>
      <w:spacing w:before="200" w:after="0"/>
      <w:jc w:val="both"/>
      <w:outlineLvl w:val="1"/>
    </w:pPr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2A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6A5A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F572C3"/>
    <w:pPr>
      <w:spacing w:after="160" w:line="259" w:lineRule="auto"/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4506C"/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D2AA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CD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737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37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37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7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73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73F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694273"/>
    <w:pPr>
      <w:spacing w:after="0" w:line="240" w:lineRule="auto"/>
    </w:pPr>
  </w:style>
  <w:style w:type="paragraph" w:styleId="Revize">
    <w:name w:val="Revision"/>
    <w:hidden/>
    <w:uiPriority w:val="99"/>
    <w:semiHidden/>
    <w:rsid w:val="00D330B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1809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66A5A"/>
    <w:pPr>
      <w:keepNext/>
      <w:keepLines/>
      <w:numPr>
        <w:numId w:val="36"/>
      </w:numPr>
      <w:spacing w:after="0"/>
      <w:jc w:val="both"/>
      <w:outlineLvl w:val="0"/>
    </w:pPr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74506C"/>
    <w:pPr>
      <w:keepNext/>
      <w:keepLines/>
      <w:spacing w:before="200" w:after="0"/>
      <w:jc w:val="both"/>
      <w:outlineLvl w:val="1"/>
    </w:pPr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2A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66A5A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F572C3"/>
    <w:pPr>
      <w:spacing w:after="160" w:line="259" w:lineRule="auto"/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74506C"/>
    <w:rPr>
      <w:rFonts w:ascii="Arial Narrow" w:eastAsiaTheme="majorEastAsia" w:hAnsi="Arial Narrow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D2AA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uiPriority w:val="59"/>
    <w:rsid w:val="00CD2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737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373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373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37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373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373F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694273"/>
    <w:pPr>
      <w:spacing w:after="0" w:line="240" w:lineRule="auto"/>
    </w:pPr>
  </w:style>
  <w:style w:type="paragraph" w:styleId="Revize">
    <w:name w:val="Revision"/>
    <w:hidden/>
    <w:uiPriority w:val="99"/>
    <w:semiHidden/>
    <w:rsid w:val="00D330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47E6F-FAA5-4C7A-A39C-769658184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1882</Words>
  <Characters>11110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Kupčiha Lukáš</dc:creator>
  <cp:lastModifiedBy>Barbora Kostíková</cp:lastModifiedBy>
  <cp:revision>5</cp:revision>
  <cp:lastPrinted>2018-02-02T09:19:00Z</cp:lastPrinted>
  <dcterms:created xsi:type="dcterms:W3CDTF">2018-01-17T10:33:00Z</dcterms:created>
  <dcterms:modified xsi:type="dcterms:W3CDTF">2018-02-02T09:19:00Z</dcterms:modified>
</cp:coreProperties>
</file>